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0DF0A" w14:textId="249DFE76" w:rsidR="007F3553" w:rsidRPr="007A395D" w:rsidRDefault="007F3553" w:rsidP="007F3553">
      <w:pPr>
        <w:pStyle w:val="Header"/>
        <w:jc w:val="right"/>
        <w:rPr>
          <w:lang w:eastAsia="ko-KR"/>
        </w:rPr>
      </w:pPr>
      <w:r w:rsidRPr="007A395D">
        <w:t xml:space="preserve">Input paper: </w:t>
      </w:r>
      <w:r w:rsidRPr="007A395D">
        <w:rPr>
          <w:rStyle w:val="FootnoteReference"/>
          <w:rFonts w:ascii="Calibri" w:hAnsi="Calibri"/>
          <w:sz w:val="22"/>
          <w:vertAlign w:val="superscript"/>
        </w:rPr>
        <w:footnoteReference w:id="1"/>
      </w:r>
      <w:r w:rsidRPr="007A395D">
        <w:t xml:space="preserve">  </w:t>
      </w:r>
      <w:r w:rsidR="00474A73" w:rsidRPr="00474A73">
        <w:t>ENAV30-5.1.3.1</w:t>
      </w:r>
    </w:p>
    <w:p w14:paraId="633FFA82" w14:textId="77777777" w:rsidR="007F3553" w:rsidRPr="007A395D" w:rsidRDefault="007F3553" w:rsidP="007F3553">
      <w:pPr>
        <w:pStyle w:val="BodyText"/>
      </w:pPr>
    </w:p>
    <w:p w14:paraId="287A3408" w14:textId="77777777" w:rsidR="007F3553" w:rsidRPr="007A395D" w:rsidRDefault="007F3553" w:rsidP="007F3553">
      <w:pPr>
        <w:pStyle w:val="BodyText"/>
      </w:pPr>
    </w:p>
    <w:p w14:paraId="732AD279" w14:textId="77777777" w:rsidR="007F3553" w:rsidRPr="007A395D" w:rsidRDefault="007F3553" w:rsidP="007F3553">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4CD9554E" w14:textId="77777777" w:rsidR="007F3553" w:rsidRPr="007A395D" w:rsidRDefault="007F3553" w:rsidP="007F3553">
      <w:pPr>
        <w:pStyle w:val="BodyText"/>
        <w:rPr>
          <w:b/>
        </w:rPr>
      </w:pPr>
      <w:proofErr w:type="gramStart"/>
      <w:r w:rsidRPr="007A395D">
        <w:rPr>
          <w:b/>
        </w:rPr>
        <w:t>□</w:t>
      </w:r>
      <w:r w:rsidRPr="007A395D">
        <w:t xml:space="preserve">  ARM</w:t>
      </w:r>
      <w:proofErr w:type="gramEnd"/>
      <w:r>
        <w:tab/>
      </w:r>
      <w:r w:rsidRPr="007A395D">
        <w:tab/>
      </w:r>
      <w:r w:rsidRPr="007A395D">
        <w:rPr>
          <w:b/>
        </w:rPr>
        <w:t>□</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tab/>
      </w:r>
      <w:r w:rsidRPr="007A395D">
        <w:tab/>
      </w:r>
      <w:r w:rsidRPr="007A395D">
        <w:tab/>
      </w:r>
      <w:r w:rsidR="00B554CB" w:rsidRPr="007A395D">
        <w:rPr>
          <w:b/>
        </w:rPr>
        <w:t>□</w:t>
      </w:r>
      <w:r w:rsidR="00B66211">
        <w:rPr>
          <w:b/>
        </w:rPr>
        <w:t xml:space="preserve"> </w:t>
      </w:r>
      <w:r w:rsidRPr="007A395D">
        <w:t xml:space="preserve"> Input</w:t>
      </w:r>
    </w:p>
    <w:p w14:paraId="48AA7A29" w14:textId="77777777" w:rsidR="007F3553" w:rsidRPr="007A395D" w:rsidRDefault="007F3553" w:rsidP="007F3553">
      <w:pPr>
        <w:pStyle w:val="BodyText"/>
      </w:pPr>
      <w:proofErr w:type="gramStart"/>
      <w:r>
        <w:t>X</w:t>
      </w:r>
      <w:r w:rsidRPr="007A395D">
        <w:t xml:space="preserve">  ENAV</w:t>
      </w:r>
      <w:proofErr w:type="gramEnd"/>
      <w:r>
        <w:tab/>
      </w:r>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00B554CB">
        <w:rPr>
          <w:b/>
        </w:rPr>
        <w:t>X</w:t>
      </w:r>
      <w:r w:rsidR="00B554CB" w:rsidRPr="007A395D">
        <w:rPr>
          <w:b/>
        </w:rPr>
        <w:t xml:space="preserve"> </w:t>
      </w:r>
      <w:r w:rsidR="00B66211" w:rsidRPr="007A395D">
        <w:t xml:space="preserve">  </w:t>
      </w:r>
      <w:r w:rsidRPr="007A395D">
        <w:t>Information</w:t>
      </w:r>
    </w:p>
    <w:p w14:paraId="4F1D5527" w14:textId="77777777" w:rsidR="007F3553" w:rsidRPr="007A395D" w:rsidRDefault="007F3553" w:rsidP="007F3553">
      <w:pPr>
        <w:pStyle w:val="BodyText"/>
      </w:pPr>
    </w:p>
    <w:p w14:paraId="3358A657" w14:textId="7397F7E4" w:rsidR="007F3553" w:rsidRPr="007A395D" w:rsidRDefault="007F3553" w:rsidP="007F3553">
      <w:pPr>
        <w:pStyle w:val="BodyText"/>
      </w:pPr>
      <w:r w:rsidRPr="00163047">
        <w:t>Agenda</w:t>
      </w:r>
      <w:r w:rsidRPr="007A395D">
        <w:t xml:space="preserve"> item </w:t>
      </w:r>
      <w:r w:rsidRPr="007A395D">
        <w:rPr>
          <w:rStyle w:val="FootnoteReference"/>
          <w:rFonts w:ascii="Calibri" w:hAnsi="Calibri"/>
          <w:sz w:val="22"/>
          <w:vertAlign w:val="superscript"/>
        </w:rPr>
        <w:footnoteReference w:id="2"/>
      </w:r>
      <w:r w:rsidRPr="007A395D">
        <w:tab/>
      </w:r>
      <w:r w:rsidRPr="007A395D">
        <w:tab/>
      </w:r>
      <w:r w:rsidRPr="007A395D">
        <w:tab/>
      </w:r>
      <w:r>
        <w:tab/>
      </w:r>
      <w:r w:rsidR="00474A73">
        <w:t>5.1</w:t>
      </w:r>
    </w:p>
    <w:p w14:paraId="665D2B3C" w14:textId="77777777" w:rsidR="007F3553" w:rsidRPr="007A395D" w:rsidRDefault="007F3553" w:rsidP="007F3553">
      <w:pPr>
        <w:pStyle w:val="BodyText"/>
      </w:pPr>
      <w:r w:rsidRPr="007A395D">
        <w:t xml:space="preserve">Technical Domain / Task Number </w:t>
      </w:r>
      <w:r w:rsidRPr="007A395D">
        <w:rPr>
          <w:vertAlign w:val="superscript"/>
        </w:rPr>
        <w:t>2</w:t>
      </w:r>
      <w:r w:rsidRPr="007A395D">
        <w:tab/>
        <w:t>…………………………………</w:t>
      </w:r>
    </w:p>
    <w:p w14:paraId="1F507F08" w14:textId="77777777" w:rsidR="00B66211" w:rsidRDefault="007F3553" w:rsidP="00B66211">
      <w:pPr>
        <w:pStyle w:val="BodyText"/>
        <w:tabs>
          <w:tab w:val="left" w:pos="2835"/>
        </w:tabs>
        <w:rPr>
          <w:sz w:val="20"/>
          <w:szCs w:val="20"/>
          <w:lang w:val="en-US"/>
        </w:rPr>
      </w:pPr>
      <w:r w:rsidRPr="007A395D">
        <w:t>Author(s) / Submitter(s)</w:t>
      </w:r>
      <w:r w:rsidRPr="007A395D">
        <w:tab/>
      </w:r>
      <w:r w:rsidRPr="007A395D">
        <w:tab/>
      </w:r>
      <w:r w:rsidRPr="007A395D">
        <w:tab/>
      </w:r>
      <w:proofErr w:type="spellStart"/>
      <w:r w:rsidR="00941175">
        <w:t>Hyejin</w:t>
      </w:r>
      <w:proofErr w:type="spellEnd"/>
      <w:r w:rsidR="00712012">
        <w:t xml:space="preserve"> KIM</w:t>
      </w:r>
      <w:r w:rsidR="00941175">
        <w:t xml:space="preserve">, </w:t>
      </w:r>
      <w:proofErr w:type="spellStart"/>
      <w:r w:rsidR="00712012">
        <w:t>hyung</w:t>
      </w:r>
      <w:r w:rsidR="00941175">
        <w:t>jick</w:t>
      </w:r>
      <w:proofErr w:type="spellEnd"/>
      <w:r w:rsidR="00941175">
        <w:t xml:space="preserve"> </w:t>
      </w:r>
      <w:r w:rsidR="00712012">
        <w:t xml:space="preserve">RYU </w:t>
      </w:r>
      <w:r w:rsidR="00711058">
        <w:t>(</w:t>
      </w:r>
      <w:r w:rsidR="00941175">
        <w:t>CO</w:t>
      </w:r>
      <w:r w:rsidR="00B66211" w:rsidRPr="002F2CB5">
        <w:t>MESTA</w:t>
      </w:r>
      <w:r w:rsidR="00711058" w:rsidRPr="002F2CB5">
        <w:t xml:space="preserve">, </w:t>
      </w:r>
      <w:r w:rsidR="00B66211" w:rsidRPr="002F2CB5">
        <w:t>Republic of Korea)</w:t>
      </w:r>
    </w:p>
    <w:p w14:paraId="6E260E66" w14:textId="77777777" w:rsidR="00712012" w:rsidRDefault="00712012" w:rsidP="00B66211">
      <w:pPr>
        <w:pStyle w:val="BodyText"/>
        <w:tabs>
          <w:tab w:val="left" w:pos="2835"/>
        </w:tabs>
        <w:rPr>
          <w:sz w:val="20"/>
          <w:szCs w:val="20"/>
          <w:lang w:val="en-US"/>
        </w:rPr>
      </w:pPr>
      <w:r>
        <w:rPr>
          <w:sz w:val="20"/>
          <w:szCs w:val="20"/>
          <w:lang w:val="en-US"/>
        </w:rPr>
        <w:tab/>
      </w:r>
      <w:r>
        <w:rPr>
          <w:sz w:val="20"/>
          <w:szCs w:val="20"/>
          <w:lang w:val="en-US"/>
        </w:rPr>
        <w:tab/>
        <w:t xml:space="preserve">                </w:t>
      </w:r>
      <w:r w:rsidRPr="002F2CB5">
        <w:rPr>
          <w:rFonts w:hint="eastAsia"/>
        </w:rPr>
        <w:t>Juntae KIM (</w:t>
      </w:r>
      <w:r w:rsidRPr="002F2CB5">
        <w:t>Korean Register</w:t>
      </w:r>
      <w:r w:rsidRPr="002F2CB5">
        <w:rPr>
          <w:rFonts w:hint="eastAsia"/>
        </w:rPr>
        <w:t>)</w:t>
      </w:r>
    </w:p>
    <w:p w14:paraId="45035D9C" w14:textId="77777777" w:rsidR="00711058" w:rsidRPr="00D853D8" w:rsidRDefault="00711058" w:rsidP="00D853D8">
      <w:pPr>
        <w:pStyle w:val="BodyText"/>
        <w:ind w:left="3600"/>
        <w:jc w:val="left"/>
        <w:rPr>
          <w:color w:val="FF0000"/>
          <w:lang w:val="en-US"/>
        </w:rPr>
      </w:pPr>
    </w:p>
    <w:p w14:paraId="2D2AFB92" w14:textId="77777777" w:rsidR="004C1FD5" w:rsidRPr="00711058" w:rsidRDefault="00711058" w:rsidP="00254BF0">
      <w:pPr>
        <w:pStyle w:val="Title"/>
        <w:rPr>
          <w:rFonts w:ascii="Calibri" w:hAnsi="Calibri"/>
          <w:color w:val="0070C0"/>
          <w:lang w:val="en-US" w:eastAsia="ko-KR"/>
        </w:rPr>
      </w:pPr>
      <w:r w:rsidRPr="00711058">
        <w:rPr>
          <w:rFonts w:ascii="Calibri" w:hAnsi="Calibri"/>
          <w:color w:val="0070C0"/>
          <w:lang w:val="en-US" w:eastAsia="ko-KR"/>
        </w:rPr>
        <w:t>Review of VDE-TER Sensitivity Requirements</w:t>
      </w:r>
    </w:p>
    <w:p w14:paraId="6501D7F8" w14:textId="77777777" w:rsidR="00254BF0" w:rsidRDefault="00254BF0">
      <w:pPr>
        <w:rPr>
          <w:lang w:val="en-US" w:eastAsia="ko-KR"/>
        </w:rPr>
      </w:pPr>
    </w:p>
    <w:p w14:paraId="12C72D52" w14:textId="77777777" w:rsidR="007F3553" w:rsidRPr="00605E43" w:rsidRDefault="007F3553" w:rsidP="007F3553">
      <w:pPr>
        <w:pStyle w:val="Heading1"/>
        <w:numPr>
          <w:ilvl w:val="0"/>
          <w:numId w:val="14"/>
        </w:numPr>
        <w:jc w:val="both"/>
      </w:pPr>
      <w:r w:rsidRPr="00605E43">
        <w:t>Summary</w:t>
      </w:r>
    </w:p>
    <w:p w14:paraId="7E226FA9" w14:textId="77777777" w:rsidR="00E0631A" w:rsidRDefault="00E0631A" w:rsidP="006F4FE9">
      <w:pPr>
        <w:rPr>
          <w:rFonts w:ascii="Calibri" w:hAnsi="Calibri"/>
          <w:lang w:eastAsia="ko-KR"/>
        </w:rPr>
      </w:pPr>
      <w:r w:rsidRPr="00E0631A">
        <w:rPr>
          <w:rFonts w:ascii="Calibri" w:hAnsi="Calibri"/>
          <w:lang w:eastAsia="ko-KR"/>
        </w:rPr>
        <w:t xml:space="preserve">This paper </w:t>
      </w:r>
      <w:r w:rsidR="00AC0FD3">
        <w:rPr>
          <w:rFonts w:ascii="Calibri" w:hAnsi="Calibri"/>
          <w:lang w:eastAsia="ko-KR"/>
        </w:rPr>
        <w:t>describes</w:t>
      </w:r>
      <w:r w:rsidRPr="00E0631A">
        <w:rPr>
          <w:rFonts w:ascii="Calibri" w:hAnsi="Calibri"/>
          <w:lang w:eastAsia="ko-KR"/>
        </w:rPr>
        <w:t xml:space="preserve"> the PER (Packet Error Ratio) performance degradation problem due to frequency offset when the VDES transceiver physical layer is implemented according to the ITU-R M.2092-1 recommendation.</w:t>
      </w:r>
    </w:p>
    <w:p w14:paraId="0A22B48A" w14:textId="77777777" w:rsidR="00177DF5" w:rsidRDefault="00177DF5" w:rsidP="006F4FE9">
      <w:pPr>
        <w:rPr>
          <w:rFonts w:ascii="Calibri" w:hAnsi="Calibri"/>
          <w:lang w:eastAsia="ko-KR"/>
        </w:rPr>
      </w:pPr>
    </w:p>
    <w:p w14:paraId="7074B546" w14:textId="77777777" w:rsidR="00E0631A" w:rsidRPr="00E0631A" w:rsidRDefault="00177DF5" w:rsidP="006F4FE9">
      <w:pPr>
        <w:rPr>
          <w:rFonts w:ascii="Calibri" w:hAnsi="Calibri"/>
          <w:lang w:eastAsia="ko-KR"/>
        </w:rPr>
      </w:pPr>
      <w:r w:rsidRPr="00177DF5">
        <w:rPr>
          <w:rFonts w:ascii="Calibri" w:hAnsi="Calibri"/>
          <w:lang w:eastAsia="ko-KR"/>
        </w:rPr>
        <w:t xml:space="preserve">This </w:t>
      </w:r>
      <w:r>
        <w:rPr>
          <w:rFonts w:ascii="Calibri" w:hAnsi="Calibri" w:hint="eastAsia"/>
          <w:lang w:eastAsia="ko-KR"/>
        </w:rPr>
        <w:t xml:space="preserve">document </w:t>
      </w:r>
      <w:r w:rsidR="00AC0FD3">
        <w:rPr>
          <w:rFonts w:ascii="Calibri" w:hAnsi="Calibri"/>
          <w:lang w:eastAsia="ko-KR"/>
        </w:rPr>
        <w:t xml:space="preserve">also </w:t>
      </w:r>
      <w:r w:rsidRPr="00177DF5">
        <w:rPr>
          <w:rFonts w:ascii="Calibri" w:hAnsi="Calibri"/>
          <w:lang w:eastAsia="ko-KR"/>
        </w:rPr>
        <w:t>provides information on the necessary margin to satisfy the receiver sensitivity requirements of VDE-TER of ITU-R M.2092-1 in the presence of frequency offset.</w:t>
      </w:r>
    </w:p>
    <w:p w14:paraId="485B1F89" w14:textId="77777777" w:rsidR="00E0631A" w:rsidRPr="00177DF5" w:rsidRDefault="00E0631A" w:rsidP="006F4FE9">
      <w:pPr>
        <w:rPr>
          <w:rFonts w:ascii="Calibri" w:hAnsi="Calibri"/>
          <w:lang w:eastAsia="ko-KR"/>
        </w:rPr>
      </w:pPr>
    </w:p>
    <w:p w14:paraId="6AD5B431" w14:textId="77777777" w:rsidR="007F3553" w:rsidRPr="00605E43" w:rsidRDefault="007F3553" w:rsidP="007F3553">
      <w:pPr>
        <w:pStyle w:val="Heading2"/>
        <w:numPr>
          <w:ilvl w:val="1"/>
          <w:numId w:val="14"/>
        </w:numPr>
        <w:jc w:val="both"/>
      </w:pPr>
      <w:r w:rsidRPr="00605E43">
        <w:t>Purpose of the document</w:t>
      </w:r>
    </w:p>
    <w:p w14:paraId="236EAB72" w14:textId="77777777" w:rsidR="00E666F8" w:rsidRDefault="00AC0FD3" w:rsidP="0000760F">
      <w:pPr>
        <w:pStyle w:val="BodyText"/>
        <w:rPr>
          <w:lang w:eastAsia="ko-KR"/>
        </w:rPr>
      </w:pPr>
      <w:r>
        <w:rPr>
          <w:lang w:eastAsia="ko-KR"/>
        </w:rPr>
        <w:t>T</w:t>
      </w:r>
      <w:r w:rsidRPr="0048596A">
        <w:rPr>
          <w:lang w:eastAsia="ko-KR"/>
        </w:rPr>
        <w:t xml:space="preserve">his document </w:t>
      </w:r>
      <w:r>
        <w:rPr>
          <w:lang w:eastAsia="ko-KR"/>
        </w:rPr>
        <w:t xml:space="preserve">provides the information on </w:t>
      </w:r>
      <w:r w:rsidRPr="0048596A">
        <w:rPr>
          <w:lang w:eastAsia="ko-KR"/>
        </w:rPr>
        <w:t>the required margin for the receive</w:t>
      </w:r>
      <w:r>
        <w:rPr>
          <w:lang w:eastAsia="ko-KR"/>
        </w:rPr>
        <w:t>r</w:t>
      </w:r>
      <w:r w:rsidRPr="0048596A">
        <w:rPr>
          <w:lang w:eastAsia="ko-KR"/>
        </w:rPr>
        <w:t xml:space="preserve"> sensitivity requirements </w:t>
      </w:r>
      <w:r>
        <w:rPr>
          <w:lang w:eastAsia="ko-KR"/>
        </w:rPr>
        <w:t xml:space="preserve">in the presence of frequency offset, which can be </w:t>
      </w:r>
      <w:r w:rsidRPr="0048596A">
        <w:rPr>
          <w:lang w:eastAsia="ko-KR"/>
        </w:rPr>
        <w:t>applied to the VDE-TER test specification.</w:t>
      </w:r>
    </w:p>
    <w:p w14:paraId="67B400C4" w14:textId="77777777" w:rsidR="00AC0FD3" w:rsidRDefault="00AC0FD3" w:rsidP="0000760F">
      <w:pPr>
        <w:pStyle w:val="BodyText"/>
        <w:rPr>
          <w:lang w:eastAsia="ko-KR"/>
        </w:rPr>
      </w:pPr>
    </w:p>
    <w:p w14:paraId="7F8E3C8F" w14:textId="77777777" w:rsidR="007F3553" w:rsidRPr="007A395D" w:rsidRDefault="007F3553" w:rsidP="007F3553">
      <w:pPr>
        <w:pStyle w:val="Heading2"/>
        <w:numPr>
          <w:ilvl w:val="1"/>
          <w:numId w:val="14"/>
        </w:numPr>
        <w:jc w:val="both"/>
      </w:pPr>
      <w:r w:rsidRPr="007A395D">
        <w:t>Related documents</w:t>
      </w:r>
    </w:p>
    <w:p w14:paraId="0EB64698" w14:textId="77777777" w:rsidR="003E0FF4" w:rsidRDefault="00092BE7" w:rsidP="00BA5998">
      <w:pPr>
        <w:pStyle w:val="BodyText"/>
        <w:rPr>
          <w:lang w:eastAsia="ko-KR"/>
        </w:rPr>
      </w:pPr>
      <w:r w:rsidRPr="00D6278F">
        <w:rPr>
          <w:lang w:eastAsia="ko-KR"/>
        </w:rPr>
        <w:t>IEC PAS 63343:2021</w:t>
      </w:r>
      <w:r>
        <w:rPr>
          <w:lang w:eastAsia="ko-KR"/>
        </w:rPr>
        <w:t xml:space="preserve">, </w:t>
      </w:r>
      <w:r w:rsidRPr="00092BE7">
        <w:rPr>
          <w:lang w:eastAsia="ko-KR"/>
        </w:rPr>
        <w:t>Maritime navigation and radiocommunication equipment and systems — VHF data exchange system — Requirements and methods of testing for stations including ASM functionality</w:t>
      </w:r>
    </w:p>
    <w:p w14:paraId="01BEE673" w14:textId="77777777" w:rsidR="00092BE7" w:rsidRDefault="00092BE7" w:rsidP="00BA5998">
      <w:pPr>
        <w:pStyle w:val="BodyText"/>
        <w:rPr>
          <w:lang w:eastAsia="ko-KR"/>
        </w:rPr>
      </w:pPr>
      <w:r w:rsidRPr="00092BE7">
        <w:rPr>
          <w:lang w:eastAsia="ko-KR"/>
        </w:rPr>
        <w:t>IEC 61993-2:2018, Maritime navigation and radiocommunication equipment and systems – Automatic identification systems (AIS) – Part 2: Class A shipborne equipment of the automatic identification system (AIS) – Operational and performance requirements, methods of test and required test results</w:t>
      </w:r>
    </w:p>
    <w:p w14:paraId="139B8A38" w14:textId="77777777" w:rsidR="00092BE7" w:rsidRDefault="00092BE7" w:rsidP="00BA5998">
      <w:pPr>
        <w:pStyle w:val="BodyText"/>
        <w:rPr>
          <w:lang w:eastAsia="ko-KR"/>
        </w:rPr>
      </w:pPr>
      <w:r>
        <w:rPr>
          <w:lang w:eastAsia="ko-KR"/>
        </w:rPr>
        <w:t>ITU-R M.2092-1:2022</w:t>
      </w:r>
      <w:r w:rsidRPr="00092BE7">
        <w:rPr>
          <w:lang w:eastAsia="ko-KR"/>
        </w:rPr>
        <w:t>, Technical characteristics for a VHF data exchange system in the VHF maritime mobile band</w:t>
      </w:r>
    </w:p>
    <w:p w14:paraId="511241EA" w14:textId="77777777" w:rsidR="00092BE7" w:rsidRPr="007A395D" w:rsidRDefault="00092BE7" w:rsidP="00BA5998">
      <w:pPr>
        <w:pStyle w:val="BodyText"/>
        <w:rPr>
          <w:lang w:eastAsia="ko-KR"/>
        </w:rPr>
      </w:pPr>
    </w:p>
    <w:p w14:paraId="447787FF" w14:textId="77777777" w:rsidR="007F3553" w:rsidRDefault="007F3553" w:rsidP="007F3553">
      <w:pPr>
        <w:pStyle w:val="Heading1"/>
        <w:numPr>
          <w:ilvl w:val="0"/>
          <w:numId w:val="14"/>
        </w:numPr>
        <w:jc w:val="both"/>
      </w:pPr>
      <w:r w:rsidRPr="007A395D">
        <w:lastRenderedPageBreak/>
        <w:t>Background</w:t>
      </w:r>
    </w:p>
    <w:p w14:paraId="38A9213F" w14:textId="77777777" w:rsidR="00746D19" w:rsidRDefault="00746D19" w:rsidP="00746D19">
      <w:pPr>
        <w:pStyle w:val="BodyText"/>
        <w:rPr>
          <w:lang w:eastAsia="ko-KR"/>
        </w:rPr>
      </w:pPr>
      <w:r>
        <w:rPr>
          <w:lang w:eastAsia="ko-KR"/>
        </w:rPr>
        <w:t>ITU-R M.2092-1 was published in February 2022, starting with the ITU-R M.2092-0 Recommendation on the radio access and transmission standards of the VDES system.</w:t>
      </w:r>
    </w:p>
    <w:p w14:paraId="4B6D3F09" w14:textId="77777777" w:rsidR="0042462D" w:rsidRDefault="00AC0FD3" w:rsidP="00746D19">
      <w:pPr>
        <w:pStyle w:val="BodyText"/>
        <w:rPr>
          <w:lang w:eastAsia="ko-KR"/>
        </w:rPr>
      </w:pPr>
      <w:r>
        <w:rPr>
          <w:lang w:eastAsia="ko-KR"/>
        </w:rPr>
        <w:t>In addition,</w:t>
      </w:r>
      <w:r w:rsidR="00746D19">
        <w:rPr>
          <w:lang w:eastAsia="ko-KR"/>
        </w:rPr>
        <w:t xml:space="preserve"> the test standard IEC PAS 63343:2021 was published which contains the technical requirements, methods of test and required test results for equipment implementing ASM part of the VHF Data exchange system (VDES) as defined in ITU-R M.2092-1.</w:t>
      </w:r>
    </w:p>
    <w:p w14:paraId="39180B3F" w14:textId="77777777" w:rsidR="00AC0FD3" w:rsidRDefault="00AC0FD3" w:rsidP="00AC0FD3">
      <w:pPr>
        <w:pStyle w:val="BodyText"/>
        <w:rPr>
          <w:lang w:eastAsia="ko-KR"/>
        </w:rPr>
      </w:pPr>
      <w:r w:rsidRPr="00EF17C8">
        <w:rPr>
          <w:lang w:eastAsia="ko-KR"/>
        </w:rPr>
        <w:t>ASM Receiver sensitivity requirements test/verification of VDES transceiver is tested as specified in IEC PAS 63343:2021, 6.2.5.2.1.</w:t>
      </w:r>
    </w:p>
    <w:p w14:paraId="6A743498" w14:textId="77777777" w:rsidR="00AC0FD3" w:rsidRDefault="00AC0FD3" w:rsidP="00AC0FD3">
      <w:pPr>
        <w:pStyle w:val="BodyText"/>
        <w:rPr>
          <w:lang w:eastAsia="ko-KR"/>
        </w:rPr>
      </w:pPr>
      <w:r>
        <w:rPr>
          <w:lang w:eastAsia="ko-KR"/>
        </w:rPr>
        <w:t>As</w:t>
      </w:r>
      <w:r w:rsidRPr="0048596A">
        <w:rPr>
          <w:lang w:eastAsia="ko-KR"/>
        </w:rPr>
        <w:t xml:space="preserve"> IEC PAS 63343:2021 only specifies the ASM part of the VHF data exchange system (VDES) as defined in ITU-R M.2092-1, </w:t>
      </w:r>
      <w:r w:rsidR="0023082A">
        <w:rPr>
          <w:lang w:eastAsia="ko-KR"/>
        </w:rPr>
        <w:t>it is necessary to review</w:t>
      </w:r>
      <w:r>
        <w:rPr>
          <w:lang w:eastAsia="ko-KR"/>
        </w:rPr>
        <w:t xml:space="preserve"> </w:t>
      </w:r>
      <w:r w:rsidRPr="0048596A">
        <w:rPr>
          <w:lang w:eastAsia="ko-KR"/>
        </w:rPr>
        <w:t>the required margin for the receive</w:t>
      </w:r>
      <w:r>
        <w:rPr>
          <w:lang w:eastAsia="ko-KR"/>
        </w:rPr>
        <w:t>r</w:t>
      </w:r>
      <w:r w:rsidRPr="0048596A">
        <w:rPr>
          <w:lang w:eastAsia="ko-KR"/>
        </w:rPr>
        <w:t xml:space="preserve"> sensitivity requirements</w:t>
      </w:r>
      <w:r w:rsidR="0023082A">
        <w:rPr>
          <w:lang w:eastAsia="ko-KR"/>
        </w:rPr>
        <w:t xml:space="preserve"> which is applicable to </w:t>
      </w:r>
      <w:r w:rsidRPr="0048596A">
        <w:rPr>
          <w:lang w:eastAsia="ko-KR"/>
        </w:rPr>
        <w:t>VDE-TER test specification.</w:t>
      </w:r>
    </w:p>
    <w:p w14:paraId="07129AB7" w14:textId="77777777" w:rsidR="00746D19" w:rsidRPr="00F40251" w:rsidRDefault="00746D19" w:rsidP="00746D19">
      <w:pPr>
        <w:pStyle w:val="BodyText"/>
        <w:rPr>
          <w:lang w:eastAsia="ko-KR"/>
        </w:rPr>
      </w:pPr>
    </w:p>
    <w:p w14:paraId="6FC61CBE" w14:textId="77777777" w:rsidR="00BD5AB6" w:rsidRPr="00BD5AB6" w:rsidRDefault="004C5848" w:rsidP="004C5848">
      <w:pPr>
        <w:pStyle w:val="Heading2"/>
        <w:rPr>
          <w:lang w:eastAsia="ko-KR"/>
        </w:rPr>
      </w:pPr>
      <w:r>
        <w:rPr>
          <w:lang w:eastAsia="ko-KR"/>
        </w:rPr>
        <w:t xml:space="preserve">VDES </w:t>
      </w:r>
      <w:r w:rsidR="00AC0FD3">
        <w:rPr>
          <w:rFonts w:hint="eastAsia"/>
          <w:lang w:eastAsia="ko-KR"/>
        </w:rPr>
        <w:t>Physical Layer</w:t>
      </w:r>
      <w:r>
        <w:rPr>
          <w:lang w:eastAsia="ko-KR"/>
        </w:rPr>
        <w:t xml:space="preserve"> </w:t>
      </w:r>
      <w:r>
        <w:rPr>
          <w:rFonts w:hint="eastAsia"/>
          <w:lang w:eastAsia="ko-KR"/>
        </w:rPr>
        <w:t>p</w:t>
      </w:r>
      <w:r>
        <w:rPr>
          <w:lang w:eastAsia="ko-KR"/>
        </w:rPr>
        <w:t>arameter</w:t>
      </w:r>
    </w:p>
    <w:p w14:paraId="1E49A30E" w14:textId="77777777" w:rsidR="003600FF" w:rsidRDefault="003600FF" w:rsidP="009E4333">
      <w:pPr>
        <w:pStyle w:val="BodyText"/>
        <w:rPr>
          <w:lang w:eastAsia="ko-KR"/>
        </w:rPr>
      </w:pPr>
      <w:r w:rsidRPr="003600FF">
        <w:rPr>
          <w:lang w:eastAsia="ko-KR"/>
        </w:rPr>
        <w:t>The VDES physical layer is designed by TDMA method and the frame structure of the burst signalling method is used according to ITU-R M.1371-5, in addition, turbo code, CRC-32, bit scrambler, PSK/QAM modulation are used. The following table 1 summarizes the main system parameters of the VDES physical layer.</w:t>
      </w:r>
    </w:p>
    <w:p w14:paraId="0A0117A5" w14:textId="77777777" w:rsidR="00AD0A80" w:rsidRDefault="00AD0A80" w:rsidP="009E4333">
      <w:pPr>
        <w:pStyle w:val="BodyText"/>
        <w:rPr>
          <w:lang w:eastAsia="ko-KR"/>
        </w:rPr>
      </w:pPr>
    </w:p>
    <w:p w14:paraId="66F4DA53" w14:textId="77777777" w:rsidR="00E95DAF" w:rsidRDefault="00E95DAF" w:rsidP="00E95DAF">
      <w:pPr>
        <w:pStyle w:val="Caption"/>
        <w:keepNext/>
        <w:jc w:val="center"/>
      </w:pPr>
      <w:r>
        <w:t xml:space="preserve">Table </w:t>
      </w:r>
      <w:r w:rsidR="002E362B">
        <w:rPr>
          <w:noProof/>
        </w:rPr>
        <w:fldChar w:fldCharType="begin"/>
      </w:r>
      <w:r w:rsidR="002E362B">
        <w:rPr>
          <w:noProof/>
        </w:rPr>
        <w:instrText xml:space="preserve"> SEQ Table \* ARABIC </w:instrText>
      </w:r>
      <w:r w:rsidR="002E362B">
        <w:rPr>
          <w:noProof/>
        </w:rPr>
        <w:fldChar w:fldCharType="separate"/>
      </w:r>
      <w:r w:rsidR="0086390D">
        <w:rPr>
          <w:noProof/>
        </w:rPr>
        <w:t>1</w:t>
      </w:r>
      <w:r w:rsidR="002E362B">
        <w:rPr>
          <w:noProof/>
        </w:rPr>
        <w:fldChar w:fldCharType="end"/>
      </w:r>
      <w:r>
        <w:t xml:space="preserve"> </w:t>
      </w:r>
      <w:r w:rsidR="003030CA">
        <w:t>L</w:t>
      </w:r>
      <w:r w:rsidR="003030CA" w:rsidRPr="003030CA">
        <w:t xml:space="preserve">ink </w:t>
      </w:r>
      <w:r w:rsidR="003030CA">
        <w:t>I</w:t>
      </w:r>
      <w:r w:rsidR="00FB5C4D">
        <w:t>D</w:t>
      </w:r>
      <w:r w:rsidR="003030CA" w:rsidRPr="003030CA">
        <w:t xml:space="preserve"> parameters</w:t>
      </w:r>
      <w:r w:rsidR="003030CA">
        <w:t xml:space="preserve"> of </w:t>
      </w:r>
      <w:r w:rsidR="003030CA">
        <w:rPr>
          <w:rFonts w:hint="eastAsia"/>
          <w:lang w:eastAsia="ko-KR"/>
        </w:rPr>
        <w:t>VDES</w:t>
      </w:r>
    </w:p>
    <w:tbl>
      <w:tblPr>
        <w:tblStyle w:val="TableGrid"/>
        <w:tblW w:w="0" w:type="auto"/>
        <w:tblInd w:w="675" w:type="dxa"/>
        <w:tblLook w:val="04A0" w:firstRow="1" w:lastRow="0" w:firstColumn="1" w:lastColumn="0" w:noHBand="0" w:noVBand="1"/>
      </w:tblPr>
      <w:tblGrid>
        <w:gridCol w:w="1134"/>
        <w:gridCol w:w="1269"/>
        <w:gridCol w:w="1534"/>
        <w:gridCol w:w="1117"/>
        <w:gridCol w:w="1377"/>
        <w:gridCol w:w="1232"/>
        <w:gridCol w:w="992"/>
      </w:tblGrid>
      <w:tr w:rsidR="00E438D0" w:rsidRPr="0086390D" w14:paraId="139D63A5" w14:textId="77777777" w:rsidTr="0086390D">
        <w:tc>
          <w:tcPr>
            <w:tcW w:w="1134" w:type="dxa"/>
            <w:shd w:val="clear" w:color="auto" w:fill="F2F2F2" w:themeFill="background1" w:themeFillShade="F2"/>
            <w:vAlign w:val="center"/>
          </w:tcPr>
          <w:p w14:paraId="5A6883A2" w14:textId="77777777" w:rsidR="00E438D0" w:rsidRPr="0086390D" w:rsidRDefault="00E438D0" w:rsidP="00FB5C4D">
            <w:pPr>
              <w:pStyle w:val="TableParagraph"/>
              <w:ind w:left="0"/>
              <w:jc w:val="center"/>
              <w:rPr>
                <w:sz w:val="20"/>
                <w:szCs w:val="20"/>
              </w:rPr>
            </w:pPr>
            <w:r w:rsidRPr="0086390D">
              <w:rPr>
                <w:sz w:val="20"/>
                <w:szCs w:val="20"/>
              </w:rPr>
              <w:t>L</w:t>
            </w:r>
            <w:r w:rsidR="00FB5C4D">
              <w:rPr>
                <w:sz w:val="20"/>
                <w:szCs w:val="20"/>
              </w:rPr>
              <w:t xml:space="preserve">ink </w:t>
            </w:r>
            <w:r w:rsidRPr="0086390D">
              <w:rPr>
                <w:sz w:val="20"/>
                <w:szCs w:val="20"/>
              </w:rPr>
              <w:t>ID</w:t>
            </w:r>
          </w:p>
        </w:tc>
        <w:tc>
          <w:tcPr>
            <w:tcW w:w="1269" w:type="dxa"/>
            <w:shd w:val="clear" w:color="auto" w:fill="F2F2F2" w:themeFill="background1" w:themeFillShade="F2"/>
            <w:vAlign w:val="center"/>
          </w:tcPr>
          <w:p w14:paraId="768EC3C0" w14:textId="77777777" w:rsidR="00E438D0" w:rsidRPr="0086390D" w:rsidRDefault="00E438D0" w:rsidP="0086390D">
            <w:pPr>
              <w:pStyle w:val="TableParagraph"/>
              <w:ind w:left="0"/>
              <w:jc w:val="center"/>
              <w:rPr>
                <w:sz w:val="20"/>
                <w:szCs w:val="20"/>
              </w:rPr>
            </w:pPr>
            <w:r w:rsidRPr="0086390D">
              <w:rPr>
                <w:sz w:val="20"/>
                <w:szCs w:val="20"/>
              </w:rPr>
              <w:t>Modulation</w:t>
            </w:r>
          </w:p>
          <w:p w14:paraId="5DF89E26" w14:textId="77777777" w:rsidR="00E438D0" w:rsidRPr="0086390D" w:rsidRDefault="00E438D0" w:rsidP="0086390D">
            <w:pPr>
              <w:pStyle w:val="TableParagraph"/>
              <w:ind w:left="0"/>
              <w:jc w:val="center"/>
              <w:rPr>
                <w:sz w:val="20"/>
                <w:szCs w:val="20"/>
              </w:rPr>
            </w:pPr>
            <w:r w:rsidRPr="0086390D">
              <w:rPr>
                <w:sz w:val="20"/>
                <w:szCs w:val="20"/>
              </w:rPr>
              <w:t>Typ</w:t>
            </w:r>
            <w:r w:rsidR="009823EB" w:rsidRPr="0086390D">
              <w:rPr>
                <w:sz w:val="20"/>
                <w:szCs w:val="20"/>
              </w:rPr>
              <w:t>e</w:t>
            </w:r>
          </w:p>
        </w:tc>
        <w:tc>
          <w:tcPr>
            <w:tcW w:w="1534" w:type="dxa"/>
            <w:shd w:val="clear" w:color="auto" w:fill="F2F2F2" w:themeFill="background1" w:themeFillShade="F2"/>
            <w:vAlign w:val="center"/>
          </w:tcPr>
          <w:p w14:paraId="25D80C52" w14:textId="77777777" w:rsidR="00E438D0" w:rsidRPr="0086390D" w:rsidRDefault="00AF1225" w:rsidP="0086390D">
            <w:pPr>
              <w:pStyle w:val="TableParagraph"/>
              <w:ind w:left="0"/>
              <w:jc w:val="center"/>
              <w:rPr>
                <w:sz w:val="20"/>
                <w:szCs w:val="20"/>
              </w:rPr>
            </w:pPr>
            <w:proofErr w:type="spellStart"/>
            <w:r w:rsidRPr="0086390D">
              <w:rPr>
                <w:sz w:val="20"/>
                <w:szCs w:val="20"/>
              </w:rPr>
              <w:t>Syncword</w:t>
            </w:r>
            <w:proofErr w:type="spellEnd"/>
            <w:r w:rsidRPr="0086390D" w:rsidDel="00AF1225">
              <w:rPr>
                <w:sz w:val="20"/>
                <w:szCs w:val="20"/>
              </w:rPr>
              <w:t xml:space="preserve"> </w:t>
            </w:r>
            <w:r w:rsidR="00FB5C4D">
              <w:rPr>
                <w:sz w:val="20"/>
                <w:szCs w:val="20"/>
              </w:rPr>
              <w:t>(</w:t>
            </w:r>
            <w:r w:rsidR="00E438D0" w:rsidRPr="0086390D">
              <w:rPr>
                <w:sz w:val="20"/>
                <w:szCs w:val="20"/>
              </w:rPr>
              <w:t>Symbols</w:t>
            </w:r>
            <w:r w:rsidR="00FB5C4D">
              <w:rPr>
                <w:sz w:val="20"/>
                <w:szCs w:val="20"/>
              </w:rPr>
              <w:t>)</w:t>
            </w:r>
          </w:p>
        </w:tc>
        <w:tc>
          <w:tcPr>
            <w:tcW w:w="1109" w:type="dxa"/>
            <w:shd w:val="clear" w:color="auto" w:fill="F2F2F2" w:themeFill="background1" w:themeFillShade="F2"/>
            <w:vAlign w:val="center"/>
          </w:tcPr>
          <w:p w14:paraId="6C5D6A92" w14:textId="77777777" w:rsidR="00E438D0" w:rsidRPr="0086390D" w:rsidRDefault="00FB5C4D" w:rsidP="0086390D">
            <w:pPr>
              <w:pStyle w:val="TableParagraph"/>
              <w:ind w:left="0"/>
              <w:jc w:val="center"/>
              <w:rPr>
                <w:sz w:val="20"/>
                <w:szCs w:val="20"/>
              </w:rPr>
            </w:pPr>
            <w:r>
              <w:rPr>
                <w:sz w:val="20"/>
                <w:szCs w:val="20"/>
              </w:rPr>
              <w:t>Link ID</w:t>
            </w:r>
          </w:p>
          <w:p w14:paraId="56CE5980" w14:textId="77777777" w:rsidR="00E438D0" w:rsidRPr="0086390D" w:rsidRDefault="00FB5C4D" w:rsidP="0086390D">
            <w:pPr>
              <w:pStyle w:val="TableParagraph"/>
              <w:ind w:left="0"/>
              <w:jc w:val="center"/>
              <w:rPr>
                <w:sz w:val="20"/>
                <w:szCs w:val="20"/>
              </w:rPr>
            </w:pPr>
            <w:r>
              <w:rPr>
                <w:sz w:val="20"/>
                <w:szCs w:val="20"/>
              </w:rPr>
              <w:t>(</w:t>
            </w:r>
            <w:r w:rsidR="00E438D0" w:rsidRPr="0086390D">
              <w:rPr>
                <w:sz w:val="20"/>
                <w:szCs w:val="20"/>
              </w:rPr>
              <w:t>Symbols</w:t>
            </w:r>
            <w:r>
              <w:rPr>
                <w:sz w:val="20"/>
                <w:szCs w:val="20"/>
              </w:rPr>
              <w:t>)</w:t>
            </w:r>
          </w:p>
        </w:tc>
        <w:tc>
          <w:tcPr>
            <w:tcW w:w="1377" w:type="dxa"/>
            <w:shd w:val="clear" w:color="auto" w:fill="F2F2F2" w:themeFill="background1" w:themeFillShade="F2"/>
            <w:vAlign w:val="center"/>
          </w:tcPr>
          <w:p w14:paraId="454C6415" w14:textId="77777777" w:rsidR="00E438D0" w:rsidRPr="0086390D" w:rsidRDefault="00E438D0" w:rsidP="0086390D">
            <w:pPr>
              <w:pStyle w:val="TableParagraph"/>
              <w:ind w:left="0"/>
              <w:jc w:val="center"/>
              <w:rPr>
                <w:sz w:val="20"/>
                <w:szCs w:val="20"/>
              </w:rPr>
            </w:pPr>
            <w:r w:rsidRPr="0086390D">
              <w:rPr>
                <w:sz w:val="20"/>
                <w:szCs w:val="20"/>
              </w:rPr>
              <w:t>Symbol Rate</w:t>
            </w:r>
          </w:p>
          <w:p w14:paraId="1EA858A4" w14:textId="77777777" w:rsidR="00E438D0" w:rsidRPr="0086390D" w:rsidRDefault="00E438D0" w:rsidP="0086390D">
            <w:pPr>
              <w:pStyle w:val="TableParagraph"/>
              <w:ind w:left="0"/>
              <w:jc w:val="center"/>
              <w:rPr>
                <w:sz w:val="20"/>
                <w:szCs w:val="20"/>
              </w:rPr>
            </w:pPr>
            <w:r w:rsidRPr="0086390D">
              <w:rPr>
                <w:sz w:val="20"/>
                <w:szCs w:val="20"/>
              </w:rPr>
              <w:t>[</w:t>
            </w:r>
            <w:proofErr w:type="spellStart"/>
            <w:r w:rsidRPr="0086390D">
              <w:rPr>
                <w:sz w:val="20"/>
                <w:szCs w:val="20"/>
              </w:rPr>
              <w:t>sps</w:t>
            </w:r>
            <w:proofErr w:type="spellEnd"/>
            <w:r w:rsidRPr="0086390D">
              <w:rPr>
                <w:sz w:val="20"/>
                <w:szCs w:val="20"/>
              </w:rPr>
              <w:t>]</w:t>
            </w:r>
          </w:p>
        </w:tc>
        <w:tc>
          <w:tcPr>
            <w:tcW w:w="1232" w:type="dxa"/>
            <w:shd w:val="clear" w:color="auto" w:fill="F2F2F2" w:themeFill="background1" w:themeFillShade="F2"/>
            <w:vAlign w:val="center"/>
          </w:tcPr>
          <w:p w14:paraId="3B5D4B58" w14:textId="77777777" w:rsidR="00E438D0" w:rsidRPr="0086390D" w:rsidRDefault="00E438D0" w:rsidP="0086390D">
            <w:pPr>
              <w:pStyle w:val="TableParagraph"/>
              <w:ind w:left="0"/>
              <w:jc w:val="center"/>
              <w:rPr>
                <w:sz w:val="20"/>
                <w:szCs w:val="20"/>
              </w:rPr>
            </w:pPr>
            <w:r w:rsidRPr="0086390D">
              <w:rPr>
                <w:sz w:val="20"/>
                <w:szCs w:val="20"/>
              </w:rPr>
              <w:t>FEC</w:t>
            </w:r>
          </w:p>
          <w:p w14:paraId="0520388D" w14:textId="77777777" w:rsidR="00E438D0" w:rsidRPr="0086390D" w:rsidRDefault="00E438D0" w:rsidP="0086390D">
            <w:pPr>
              <w:pStyle w:val="TableParagraph"/>
              <w:ind w:left="0"/>
              <w:jc w:val="center"/>
              <w:rPr>
                <w:sz w:val="20"/>
                <w:szCs w:val="20"/>
              </w:rPr>
            </w:pPr>
            <w:r w:rsidRPr="0086390D">
              <w:rPr>
                <w:sz w:val="20"/>
                <w:szCs w:val="20"/>
              </w:rPr>
              <w:t>rate</w:t>
            </w:r>
          </w:p>
        </w:tc>
        <w:tc>
          <w:tcPr>
            <w:tcW w:w="992" w:type="dxa"/>
            <w:shd w:val="clear" w:color="auto" w:fill="F2F2F2" w:themeFill="background1" w:themeFillShade="F2"/>
            <w:vAlign w:val="center"/>
          </w:tcPr>
          <w:p w14:paraId="40263AEF" w14:textId="77777777" w:rsidR="00E438D0" w:rsidRPr="0086390D" w:rsidRDefault="00E438D0" w:rsidP="0086390D">
            <w:pPr>
              <w:pStyle w:val="TableParagraph"/>
              <w:ind w:left="0"/>
              <w:jc w:val="center"/>
              <w:rPr>
                <w:sz w:val="20"/>
                <w:szCs w:val="20"/>
              </w:rPr>
            </w:pPr>
            <w:r w:rsidRPr="0086390D">
              <w:rPr>
                <w:sz w:val="20"/>
                <w:szCs w:val="20"/>
              </w:rPr>
              <w:t>roll-off</w:t>
            </w:r>
          </w:p>
          <w:p w14:paraId="15AFC821" w14:textId="77777777" w:rsidR="00E438D0" w:rsidRPr="0086390D" w:rsidRDefault="00E438D0" w:rsidP="0086390D">
            <w:pPr>
              <w:pStyle w:val="TableParagraph"/>
              <w:ind w:left="0"/>
              <w:jc w:val="center"/>
              <w:rPr>
                <w:sz w:val="20"/>
                <w:szCs w:val="20"/>
              </w:rPr>
            </w:pPr>
            <w:r w:rsidRPr="0086390D">
              <w:rPr>
                <w:sz w:val="20"/>
                <w:szCs w:val="20"/>
              </w:rPr>
              <w:t>factor</w:t>
            </w:r>
          </w:p>
        </w:tc>
      </w:tr>
      <w:tr w:rsidR="00E438D0" w:rsidRPr="0086390D" w14:paraId="001D986D" w14:textId="77777777" w:rsidTr="00E438D0">
        <w:tc>
          <w:tcPr>
            <w:tcW w:w="1134" w:type="dxa"/>
            <w:vAlign w:val="center"/>
          </w:tcPr>
          <w:p w14:paraId="180479A0" w14:textId="77777777" w:rsidR="00E438D0" w:rsidRPr="0086390D" w:rsidRDefault="00E438D0" w:rsidP="0086390D">
            <w:pPr>
              <w:pStyle w:val="TableParagraph"/>
              <w:ind w:left="0"/>
              <w:jc w:val="center"/>
              <w:rPr>
                <w:sz w:val="20"/>
                <w:szCs w:val="20"/>
              </w:rPr>
            </w:pPr>
            <w:r w:rsidRPr="0086390D">
              <w:rPr>
                <w:sz w:val="20"/>
                <w:szCs w:val="20"/>
              </w:rPr>
              <w:t>1,2,3</w:t>
            </w:r>
          </w:p>
        </w:tc>
        <w:tc>
          <w:tcPr>
            <w:tcW w:w="1269" w:type="dxa"/>
            <w:vAlign w:val="center"/>
          </w:tcPr>
          <w:p w14:paraId="7EBAA9F1" w14:textId="77777777" w:rsidR="00E438D0" w:rsidRPr="0086390D" w:rsidRDefault="00E438D0" w:rsidP="0086390D">
            <w:pPr>
              <w:pStyle w:val="TableParagraph"/>
              <w:ind w:left="0"/>
              <w:jc w:val="center"/>
              <w:rPr>
                <w:sz w:val="20"/>
                <w:szCs w:val="20"/>
              </w:rPr>
            </w:pPr>
            <w:r w:rsidRPr="0086390D">
              <w:rPr>
                <w:sz w:val="20"/>
                <w:szCs w:val="20"/>
              </w:rPr>
              <w:t>PI/4</w:t>
            </w:r>
            <w:r w:rsidR="00FB5C4D" w:rsidRPr="0086390D">
              <w:rPr>
                <w:sz w:val="20"/>
                <w:szCs w:val="20"/>
              </w:rPr>
              <w:t>-QPSK</w:t>
            </w:r>
          </w:p>
        </w:tc>
        <w:tc>
          <w:tcPr>
            <w:tcW w:w="1534" w:type="dxa"/>
            <w:vAlign w:val="center"/>
          </w:tcPr>
          <w:p w14:paraId="5A1672F1" w14:textId="77777777" w:rsidR="00E438D0" w:rsidRPr="0086390D" w:rsidRDefault="00E438D0" w:rsidP="0086390D">
            <w:pPr>
              <w:pStyle w:val="TableParagraph"/>
              <w:ind w:left="0"/>
              <w:jc w:val="center"/>
              <w:rPr>
                <w:sz w:val="20"/>
                <w:szCs w:val="20"/>
              </w:rPr>
            </w:pPr>
            <w:r w:rsidRPr="0086390D">
              <w:rPr>
                <w:sz w:val="20"/>
                <w:szCs w:val="20"/>
              </w:rPr>
              <w:t>27</w:t>
            </w:r>
          </w:p>
        </w:tc>
        <w:tc>
          <w:tcPr>
            <w:tcW w:w="1109" w:type="dxa"/>
            <w:vAlign w:val="center"/>
          </w:tcPr>
          <w:p w14:paraId="2A447313" w14:textId="77777777" w:rsidR="00E438D0" w:rsidRPr="0086390D" w:rsidRDefault="00E438D0" w:rsidP="0086390D">
            <w:pPr>
              <w:pStyle w:val="TableParagraph"/>
              <w:ind w:left="0"/>
              <w:jc w:val="center"/>
              <w:rPr>
                <w:sz w:val="20"/>
                <w:szCs w:val="20"/>
              </w:rPr>
            </w:pPr>
            <w:r w:rsidRPr="0086390D">
              <w:rPr>
                <w:sz w:val="20"/>
                <w:szCs w:val="20"/>
              </w:rPr>
              <w:t>16</w:t>
            </w:r>
          </w:p>
        </w:tc>
        <w:tc>
          <w:tcPr>
            <w:tcW w:w="1377" w:type="dxa"/>
            <w:vAlign w:val="center"/>
          </w:tcPr>
          <w:p w14:paraId="1EFF6C7B" w14:textId="77777777" w:rsidR="00E438D0" w:rsidRPr="0086390D" w:rsidRDefault="00E438D0" w:rsidP="0086390D">
            <w:pPr>
              <w:pStyle w:val="TableParagraph"/>
              <w:ind w:left="0"/>
              <w:jc w:val="center"/>
              <w:rPr>
                <w:sz w:val="20"/>
                <w:szCs w:val="20"/>
              </w:rPr>
            </w:pPr>
            <w:r w:rsidRPr="0086390D">
              <w:rPr>
                <w:sz w:val="20"/>
                <w:szCs w:val="20"/>
              </w:rPr>
              <w:t>9600</w:t>
            </w:r>
          </w:p>
        </w:tc>
        <w:tc>
          <w:tcPr>
            <w:tcW w:w="1232" w:type="dxa"/>
            <w:vAlign w:val="center"/>
          </w:tcPr>
          <w:p w14:paraId="47F17696" w14:textId="77777777" w:rsidR="00E438D0" w:rsidRPr="0086390D" w:rsidRDefault="00E438D0" w:rsidP="0086390D">
            <w:pPr>
              <w:pStyle w:val="TableParagraph"/>
              <w:ind w:left="0"/>
              <w:jc w:val="center"/>
              <w:rPr>
                <w:sz w:val="20"/>
                <w:szCs w:val="20"/>
              </w:rPr>
            </w:pPr>
            <w:r w:rsidRPr="0086390D">
              <w:rPr>
                <w:sz w:val="20"/>
                <w:szCs w:val="20"/>
              </w:rPr>
              <w:t>Uncoded</w:t>
            </w:r>
          </w:p>
        </w:tc>
        <w:tc>
          <w:tcPr>
            <w:tcW w:w="992" w:type="dxa"/>
            <w:vAlign w:val="center"/>
          </w:tcPr>
          <w:p w14:paraId="155F3269" w14:textId="77777777" w:rsidR="00E438D0" w:rsidRPr="0086390D" w:rsidRDefault="00E438D0" w:rsidP="0086390D">
            <w:pPr>
              <w:pStyle w:val="TableParagraph"/>
              <w:ind w:left="0"/>
              <w:jc w:val="center"/>
              <w:rPr>
                <w:sz w:val="20"/>
                <w:szCs w:val="20"/>
              </w:rPr>
            </w:pPr>
            <w:r w:rsidRPr="0086390D">
              <w:rPr>
                <w:sz w:val="20"/>
                <w:szCs w:val="20"/>
              </w:rPr>
              <w:t>0.35</w:t>
            </w:r>
          </w:p>
        </w:tc>
      </w:tr>
      <w:tr w:rsidR="00E438D0" w:rsidRPr="0086390D" w14:paraId="60928526" w14:textId="77777777" w:rsidTr="00E438D0">
        <w:tc>
          <w:tcPr>
            <w:tcW w:w="1134" w:type="dxa"/>
            <w:vAlign w:val="center"/>
          </w:tcPr>
          <w:p w14:paraId="0A6D3C82" w14:textId="77777777" w:rsidR="00E438D0" w:rsidRPr="0086390D" w:rsidRDefault="00E438D0" w:rsidP="0086390D">
            <w:pPr>
              <w:pStyle w:val="TableParagraph"/>
              <w:ind w:left="0"/>
              <w:jc w:val="center"/>
              <w:rPr>
                <w:sz w:val="20"/>
                <w:szCs w:val="20"/>
              </w:rPr>
            </w:pPr>
            <w:r w:rsidRPr="0086390D">
              <w:rPr>
                <w:sz w:val="20"/>
                <w:szCs w:val="20"/>
              </w:rPr>
              <w:t>5,6,7</w:t>
            </w:r>
          </w:p>
        </w:tc>
        <w:tc>
          <w:tcPr>
            <w:tcW w:w="1269" w:type="dxa"/>
            <w:vAlign w:val="center"/>
          </w:tcPr>
          <w:p w14:paraId="1BB6EF78" w14:textId="77777777" w:rsidR="00E438D0" w:rsidRPr="0086390D" w:rsidRDefault="00E438D0" w:rsidP="0086390D">
            <w:pPr>
              <w:pStyle w:val="TableParagraph"/>
              <w:ind w:left="0"/>
              <w:jc w:val="center"/>
              <w:rPr>
                <w:sz w:val="20"/>
                <w:szCs w:val="20"/>
              </w:rPr>
            </w:pPr>
            <w:r w:rsidRPr="0086390D">
              <w:rPr>
                <w:sz w:val="20"/>
                <w:szCs w:val="20"/>
              </w:rPr>
              <w:t>PI/4</w:t>
            </w:r>
            <w:r w:rsidR="00FB5C4D" w:rsidRPr="0086390D">
              <w:rPr>
                <w:sz w:val="20"/>
                <w:szCs w:val="20"/>
              </w:rPr>
              <w:t>-QPSK</w:t>
            </w:r>
          </w:p>
        </w:tc>
        <w:tc>
          <w:tcPr>
            <w:tcW w:w="1534" w:type="dxa"/>
            <w:vAlign w:val="center"/>
          </w:tcPr>
          <w:p w14:paraId="540D7ED6" w14:textId="77777777" w:rsidR="00E438D0" w:rsidRPr="0086390D" w:rsidRDefault="00E438D0" w:rsidP="0086390D">
            <w:pPr>
              <w:pStyle w:val="TableParagraph"/>
              <w:ind w:left="0"/>
              <w:jc w:val="center"/>
              <w:rPr>
                <w:sz w:val="20"/>
                <w:szCs w:val="20"/>
              </w:rPr>
            </w:pPr>
            <w:r w:rsidRPr="0086390D">
              <w:rPr>
                <w:sz w:val="20"/>
                <w:szCs w:val="20"/>
              </w:rPr>
              <w:t>27</w:t>
            </w:r>
          </w:p>
        </w:tc>
        <w:tc>
          <w:tcPr>
            <w:tcW w:w="1109" w:type="dxa"/>
            <w:vAlign w:val="center"/>
          </w:tcPr>
          <w:p w14:paraId="24C7C7CD" w14:textId="77777777" w:rsidR="00E438D0" w:rsidRPr="0086390D" w:rsidRDefault="00E438D0" w:rsidP="0086390D">
            <w:pPr>
              <w:pStyle w:val="TableParagraph"/>
              <w:ind w:left="0"/>
              <w:jc w:val="center"/>
              <w:rPr>
                <w:sz w:val="20"/>
                <w:szCs w:val="20"/>
              </w:rPr>
            </w:pPr>
            <w:r w:rsidRPr="0086390D">
              <w:rPr>
                <w:sz w:val="20"/>
                <w:szCs w:val="20"/>
              </w:rPr>
              <w:t>16</w:t>
            </w:r>
          </w:p>
        </w:tc>
        <w:tc>
          <w:tcPr>
            <w:tcW w:w="1377" w:type="dxa"/>
            <w:vAlign w:val="center"/>
          </w:tcPr>
          <w:p w14:paraId="1F48BC6C" w14:textId="77777777" w:rsidR="00E438D0" w:rsidRPr="0086390D" w:rsidRDefault="00E438D0" w:rsidP="0086390D">
            <w:pPr>
              <w:pStyle w:val="TableParagraph"/>
              <w:ind w:left="0"/>
              <w:jc w:val="center"/>
              <w:rPr>
                <w:sz w:val="20"/>
                <w:szCs w:val="20"/>
              </w:rPr>
            </w:pPr>
            <w:r w:rsidRPr="0086390D">
              <w:rPr>
                <w:sz w:val="20"/>
                <w:szCs w:val="20"/>
              </w:rPr>
              <w:t>9600</w:t>
            </w:r>
          </w:p>
        </w:tc>
        <w:tc>
          <w:tcPr>
            <w:tcW w:w="1232" w:type="dxa"/>
            <w:vAlign w:val="center"/>
          </w:tcPr>
          <w:p w14:paraId="44713082" w14:textId="77777777" w:rsidR="00E438D0" w:rsidRPr="0086390D" w:rsidRDefault="00E438D0" w:rsidP="0086390D">
            <w:pPr>
              <w:pStyle w:val="TableParagraph"/>
              <w:ind w:left="0"/>
              <w:jc w:val="center"/>
              <w:rPr>
                <w:sz w:val="20"/>
                <w:szCs w:val="20"/>
              </w:rPr>
            </w:pPr>
            <w:r w:rsidRPr="0086390D">
              <w:rPr>
                <w:sz w:val="20"/>
                <w:szCs w:val="20"/>
              </w:rPr>
              <w:t>3/4</w:t>
            </w:r>
          </w:p>
        </w:tc>
        <w:tc>
          <w:tcPr>
            <w:tcW w:w="992" w:type="dxa"/>
            <w:vAlign w:val="center"/>
          </w:tcPr>
          <w:p w14:paraId="455ECAAF" w14:textId="77777777" w:rsidR="00E438D0" w:rsidRPr="0086390D" w:rsidRDefault="00E438D0" w:rsidP="0086390D">
            <w:pPr>
              <w:pStyle w:val="TableParagraph"/>
              <w:ind w:left="0"/>
              <w:jc w:val="center"/>
              <w:rPr>
                <w:sz w:val="20"/>
                <w:szCs w:val="20"/>
              </w:rPr>
            </w:pPr>
            <w:r w:rsidRPr="0086390D">
              <w:rPr>
                <w:sz w:val="20"/>
                <w:szCs w:val="20"/>
              </w:rPr>
              <w:t>0.35</w:t>
            </w:r>
          </w:p>
        </w:tc>
      </w:tr>
      <w:tr w:rsidR="00E438D0" w:rsidRPr="0086390D" w14:paraId="695C81AE" w14:textId="77777777" w:rsidTr="00E438D0">
        <w:tc>
          <w:tcPr>
            <w:tcW w:w="1134" w:type="dxa"/>
            <w:vAlign w:val="center"/>
          </w:tcPr>
          <w:p w14:paraId="700ADA05" w14:textId="77777777" w:rsidR="00E438D0" w:rsidRPr="0086390D" w:rsidRDefault="00E438D0" w:rsidP="0086390D">
            <w:pPr>
              <w:pStyle w:val="TableParagraph"/>
              <w:ind w:left="0"/>
              <w:jc w:val="center"/>
              <w:rPr>
                <w:sz w:val="20"/>
                <w:szCs w:val="20"/>
              </w:rPr>
            </w:pPr>
            <w:r w:rsidRPr="0086390D">
              <w:rPr>
                <w:sz w:val="20"/>
                <w:szCs w:val="20"/>
              </w:rPr>
              <w:t>11,14,17</w:t>
            </w:r>
          </w:p>
        </w:tc>
        <w:tc>
          <w:tcPr>
            <w:tcW w:w="1269" w:type="dxa"/>
            <w:vAlign w:val="center"/>
          </w:tcPr>
          <w:p w14:paraId="6B5ADC23" w14:textId="77777777" w:rsidR="00E438D0" w:rsidRPr="0086390D" w:rsidRDefault="00E438D0" w:rsidP="0086390D">
            <w:pPr>
              <w:pStyle w:val="TableParagraph"/>
              <w:ind w:left="0"/>
              <w:jc w:val="center"/>
              <w:rPr>
                <w:sz w:val="20"/>
                <w:szCs w:val="20"/>
              </w:rPr>
            </w:pPr>
            <w:r w:rsidRPr="0086390D">
              <w:rPr>
                <w:sz w:val="20"/>
                <w:szCs w:val="20"/>
              </w:rPr>
              <w:t>PI/4-QPSK</w:t>
            </w:r>
          </w:p>
        </w:tc>
        <w:tc>
          <w:tcPr>
            <w:tcW w:w="1534" w:type="dxa"/>
            <w:vAlign w:val="center"/>
          </w:tcPr>
          <w:p w14:paraId="17BC2154" w14:textId="77777777" w:rsidR="00E438D0" w:rsidRPr="0086390D" w:rsidRDefault="00E438D0" w:rsidP="0086390D">
            <w:pPr>
              <w:pStyle w:val="TableParagraph"/>
              <w:ind w:left="0"/>
              <w:jc w:val="center"/>
              <w:rPr>
                <w:sz w:val="20"/>
                <w:szCs w:val="20"/>
              </w:rPr>
            </w:pPr>
            <w:r w:rsidRPr="0086390D">
              <w:rPr>
                <w:sz w:val="20"/>
                <w:szCs w:val="20"/>
              </w:rPr>
              <w:t>27</w:t>
            </w:r>
          </w:p>
        </w:tc>
        <w:tc>
          <w:tcPr>
            <w:tcW w:w="1109" w:type="dxa"/>
            <w:vAlign w:val="center"/>
          </w:tcPr>
          <w:p w14:paraId="27575BAC" w14:textId="77777777" w:rsidR="00E438D0" w:rsidRPr="0086390D" w:rsidRDefault="00E438D0" w:rsidP="0086390D">
            <w:pPr>
              <w:pStyle w:val="TableParagraph"/>
              <w:ind w:left="0"/>
              <w:jc w:val="center"/>
              <w:rPr>
                <w:sz w:val="20"/>
                <w:szCs w:val="20"/>
              </w:rPr>
            </w:pPr>
            <w:r w:rsidRPr="0086390D">
              <w:rPr>
                <w:sz w:val="20"/>
                <w:szCs w:val="20"/>
              </w:rPr>
              <w:t>16</w:t>
            </w:r>
          </w:p>
        </w:tc>
        <w:tc>
          <w:tcPr>
            <w:tcW w:w="1377" w:type="dxa"/>
            <w:vAlign w:val="center"/>
          </w:tcPr>
          <w:p w14:paraId="5D64AC40" w14:textId="77777777" w:rsidR="00E438D0" w:rsidRPr="0086390D" w:rsidRDefault="00E438D0" w:rsidP="0086390D">
            <w:pPr>
              <w:pStyle w:val="TableParagraph"/>
              <w:ind w:left="0"/>
              <w:jc w:val="center"/>
              <w:rPr>
                <w:sz w:val="20"/>
                <w:szCs w:val="20"/>
              </w:rPr>
            </w:pPr>
            <w:r w:rsidRPr="0086390D">
              <w:rPr>
                <w:sz w:val="20"/>
                <w:szCs w:val="20"/>
              </w:rPr>
              <w:t>19,200</w:t>
            </w:r>
          </w:p>
          <w:p w14:paraId="7A30FA20" w14:textId="77777777" w:rsidR="00E438D0" w:rsidRPr="0086390D" w:rsidRDefault="00E438D0" w:rsidP="0086390D">
            <w:pPr>
              <w:pStyle w:val="TableParagraph"/>
              <w:ind w:left="0"/>
              <w:jc w:val="center"/>
              <w:rPr>
                <w:sz w:val="20"/>
                <w:szCs w:val="20"/>
              </w:rPr>
            </w:pPr>
            <w:r w:rsidRPr="0086390D">
              <w:rPr>
                <w:sz w:val="20"/>
                <w:szCs w:val="20"/>
              </w:rPr>
              <w:t>38,400</w:t>
            </w:r>
          </w:p>
          <w:p w14:paraId="43F88686" w14:textId="77777777" w:rsidR="00E438D0" w:rsidRPr="0086390D" w:rsidRDefault="00E438D0" w:rsidP="0086390D">
            <w:pPr>
              <w:pStyle w:val="TableParagraph"/>
              <w:ind w:left="0"/>
              <w:jc w:val="center"/>
              <w:rPr>
                <w:sz w:val="20"/>
                <w:szCs w:val="20"/>
              </w:rPr>
            </w:pPr>
            <w:r w:rsidRPr="0086390D">
              <w:rPr>
                <w:sz w:val="20"/>
                <w:szCs w:val="20"/>
              </w:rPr>
              <w:t>76,800</w:t>
            </w:r>
          </w:p>
        </w:tc>
        <w:tc>
          <w:tcPr>
            <w:tcW w:w="1232" w:type="dxa"/>
            <w:vAlign w:val="center"/>
          </w:tcPr>
          <w:p w14:paraId="304DA7E9" w14:textId="77777777" w:rsidR="00E438D0" w:rsidRPr="0086390D" w:rsidRDefault="00E438D0" w:rsidP="0086390D">
            <w:pPr>
              <w:pStyle w:val="TableParagraph"/>
              <w:ind w:left="0"/>
              <w:jc w:val="center"/>
              <w:rPr>
                <w:sz w:val="20"/>
                <w:szCs w:val="20"/>
              </w:rPr>
            </w:pPr>
            <w:r w:rsidRPr="0086390D">
              <w:rPr>
                <w:sz w:val="20"/>
                <w:szCs w:val="20"/>
              </w:rPr>
              <w:t>1/2</w:t>
            </w:r>
          </w:p>
        </w:tc>
        <w:tc>
          <w:tcPr>
            <w:tcW w:w="992" w:type="dxa"/>
            <w:vAlign w:val="center"/>
          </w:tcPr>
          <w:p w14:paraId="2E2F5855" w14:textId="77777777" w:rsidR="00E438D0" w:rsidRPr="0086390D" w:rsidRDefault="00E438D0" w:rsidP="0086390D">
            <w:pPr>
              <w:pStyle w:val="TableParagraph"/>
              <w:ind w:left="0"/>
              <w:jc w:val="center"/>
              <w:rPr>
                <w:sz w:val="20"/>
                <w:szCs w:val="20"/>
              </w:rPr>
            </w:pPr>
            <w:r w:rsidRPr="0086390D">
              <w:rPr>
                <w:sz w:val="20"/>
                <w:szCs w:val="20"/>
              </w:rPr>
              <w:t>0.3</w:t>
            </w:r>
          </w:p>
        </w:tc>
      </w:tr>
      <w:tr w:rsidR="00E438D0" w:rsidRPr="0086390D" w14:paraId="0F6BFD3D" w14:textId="77777777" w:rsidTr="00E438D0">
        <w:tc>
          <w:tcPr>
            <w:tcW w:w="1134" w:type="dxa"/>
            <w:vAlign w:val="center"/>
          </w:tcPr>
          <w:p w14:paraId="1CE7D105" w14:textId="77777777" w:rsidR="00E438D0" w:rsidRPr="0086390D" w:rsidRDefault="00E438D0" w:rsidP="0086390D">
            <w:pPr>
              <w:pStyle w:val="TableParagraph"/>
              <w:ind w:left="0"/>
              <w:jc w:val="center"/>
              <w:rPr>
                <w:sz w:val="20"/>
                <w:szCs w:val="20"/>
              </w:rPr>
            </w:pPr>
            <w:r w:rsidRPr="0086390D">
              <w:rPr>
                <w:sz w:val="20"/>
                <w:szCs w:val="20"/>
              </w:rPr>
              <w:t>12,15,18</w:t>
            </w:r>
          </w:p>
        </w:tc>
        <w:tc>
          <w:tcPr>
            <w:tcW w:w="1269" w:type="dxa"/>
            <w:vAlign w:val="center"/>
          </w:tcPr>
          <w:p w14:paraId="044A7A5F" w14:textId="77777777" w:rsidR="00E438D0" w:rsidRPr="0086390D" w:rsidRDefault="00E438D0" w:rsidP="0086390D">
            <w:pPr>
              <w:pStyle w:val="TableParagraph"/>
              <w:ind w:left="0"/>
              <w:jc w:val="center"/>
              <w:rPr>
                <w:sz w:val="20"/>
                <w:szCs w:val="20"/>
              </w:rPr>
            </w:pPr>
            <w:r w:rsidRPr="0086390D">
              <w:rPr>
                <w:sz w:val="20"/>
                <w:szCs w:val="20"/>
              </w:rPr>
              <w:t>8PSK</w:t>
            </w:r>
          </w:p>
        </w:tc>
        <w:tc>
          <w:tcPr>
            <w:tcW w:w="1534" w:type="dxa"/>
            <w:vAlign w:val="center"/>
          </w:tcPr>
          <w:p w14:paraId="384541EA" w14:textId="77777777" w:rsidR="00E438D0" w:rsidRPr="0086390D" w:rsidRDefault="00E438D0" w:rsidP="0086390D">
            <w:pPr>
              <w:pStyle w:val="TableParagraph"/>
              <w:ind w:left="0"/>
              <w:jc w:val="center"/>
              <w:rPr>
                <w:sz w:val="20"/>
                <w:szCs w:val="20"/>
              </w:rPr>
            </w:pPr>
            <w:r w:rsidRPr="0086390D">
              <w:rPr>
                <w:sz w:val="20"/>
                <w:szCs w:val="20"/>
              </w:rPr>
              <w:t>27</w:t>
            </w:r>
          </w:p>
        </w:tc>
        <w:tc>
          <w:tcPr>
            <w:tcW w:w="1109" w:type="dxa"/>
            <w:vAlign w:val="center"/>
          </w:tcPr>
          <w:p w14:paraId="53FE78B6" w14:textId="77777777" w:rsidR="00E438D0" w:rsidRPr="0086390D" w:rsidRDefault="00E438D0" w:rsidP="0086390D">
            <w:pPr>
              <w:pStyle w:val="TableParagraph"/>
              <w:ind w:left="0"/>
              <w:jc w:val="center"/>
              <w:rPr>
                <w:sz w:val="20"/>
                <w:szCs w:val="20"/>
              </w:rPr>
            </w:pPr>
            <w:r w:rsidRPr="0086390D">
              <w:rPr>
                <w:sz w:val="20"/>
                <w:szCs w:val="20"/>
              </w:rPr>
              <w:t>16</w:t>
            </w:r>
          </w:p>
        </w:tc>
        <w:tc>
          <w:tcPr>
            <w:tcW w:w="1377" w:type="dxa"/>
            <w:vAlign w:val="center"/>
          </w:tcPr>
          <w:p w14:paraId="6469BBA0" w14:textId="77777777" w:rsidR="00E438D0" w:rsidRPr="0086390D" w:rsidRDefault="00E438D0" w:rsidP="0086390D">
            <w:pPr>
              <w:pStyle w:val="TableParagraph"/>
              <w:ind w:left="0"/>
              <w:jc w:val="center"/>
              <w:rPr>
                <w:sz w:val="20"/>
                <w:szCs w:val="20"/>
              </w:rPr>
            </w:pPr>
            <w:r w:rsidRPr="0086390D">
              <w:rPr>
                <w:sz w:val="20"/>
                <w:szCs w:val="20"/>
              </w:rPr>
              <w:t>19,200</w:t>
            </w:r>
          </w:p>
          <w:p w14:paraId="474FDD57" w14:textId="77777777" w:rsidR="00E438D0" w:rsidRPr="0086390D" w:rsidRDefault="00E438D0" w:rsidP="0086390D">
            <w:pPr>
              <w:pStyle w:val="TableParagraph"/>
              <w:ind w:left="0"/>
              <w:jc w:val="center"/>
              <w:rPr>
                <w:sz w:val="20"/>
                <w:szCs w:val="20"/>
              </w:rPr>
            </w:pPr>
            <w:r w:rsidRPr="0086390D">
              <w:rPr>
                <w:sz w:val="20"/>
                <w:szCs w:val="20"/>
              </w:rPr>
              <w:t>38,400</w:t>
            </w:r>
          </w:p>
          <w:p w14:paraId="5DEB21E1" w14:textId="77777777" w:rsidR="00E438D0" w:rsidRPr="0086390D" w:rsidRDefault="00E438D0" w:rsidP="0086390D">
            <w:pPr>
              <w:pStyle w:val="TableParagraph"/>
              <w:ind w:left="0"/>
              <w:jc w:val="center"/>
              <w:rPr>
                <w:sz w:val="20"/>
                <w:szCs w:val="20"/>
              </w:rPr>
            </w:pPr>
            <w:r w:rsidRPr="0086390D">
              <w:rPr>
                <w:sz w:val="20"/>
                <w:szCs w:val="20"/>
              </w:rPr>
              <w:t>76,800</w:t>
            </w:r>
          </w:p>
        </w:tc>
        <w:tc>
          <w:tcPr>
            <w:tcW w:w="1232" w:type="dxa"/>
            <w:vAlign w:val="center"/>
          </w:tcPr>
          <w:p w14:paraId="207F9553" w14:textId="77777777" w:rsidR="00E438D0" w:rsidRPr="0086390D" w:rsidRDefault="00E438D0" w:rsidP="0086390D">
            <w:pPr>
              <w:pStyle w:val="TableParagraph"/>
              <w:ind w:left="0"/>
              <w:jc w:val="center"/>
              <w:rPr>
                <w:sz w:val="20"/>
                <w:szCs w:val="20"/>
              </w:rPr>
            </w:pPr>
            <w:r w:rsidRPr="0086390D">
              <w:rPr>
                <w:sz w:val="20"/>
                <w:szCs w:val="20"/>
              </w:rPr>
              <w:t>3/4</w:t>
            </w:r>
          </w:p>
        </w:tc>
        <w:tc>
          <w:tcPr>
            <w:tcW w:w="992" w:type="dxa"/>
            <w:vAlign w:val="center"/>
          </w:tcPr>
          <w:p w14:paraId="599049CC" w14:textId="77777777" w:rsidR="00E438D0" w:rsidRPr="0086390D" w:rsidRDefault="00E438D0" w:rsidP="0086390D">
            <w:pPr>
              <w:pStyle w:val="TableParagraph"/>
              <w:ind w:left="0"/>
              <w:jc w:val="center"/>
              <w:rPr>
                <w:sz w:val="20"/>
                <w:szCs w:val="20"/>
              </w:rPr>
            </w:pPr>
            <w:r w:rsidRPr="0086390D">
              <w:rPr>
                <w:sz w:val="20"/>
                <w:szCs w:val="20"/>
              </w:rPr>
              <w:t>0.3</w:t>
            </w:r>
          </w:p>
        </w:tc>
      </w:tr>
      <w:tr w:rsidR="00E438D0" w:rsidRPr="0086390D" w14:paraId="07CCCC84" w14:textId="77777777" w:rsidTr="00E438D0">
        <w:tc>
          <w:tcPr>
            <w:tcW w:w="1134" w:type="dxa"/>
            <w:vAlign w:val="center"/>
          </w:tcPr>
          <w:p w14:paraId="3CDED6BE" w14:textId="77777777" w:rsidR="00E438D0" w:rsidRPr="0086390D" w:rsidRDefault="00E438D0" w:rsidP="0086390D">
            <w:pPr>
              <w:pStyle w:val="TableParagraph"/>
              <w:ind w:left="0"/>
              <w:jc w:val="center"/>
              <w:rPr>
                <w:sz w:val="20"/>
                <w:szCs w:val="20"/>
              </w:rPr>
            </w:pPr>
            <w:r w:rsidRPr="0086390D">
              <w:rPr>
                <w:sz w:val="20"/>
                <w:szCs w:val="20"/>
              </w:rPr>
              <w:t>13,16,19</w:t>
            </w:r>
          </w:p>
        </w:tc>
        <w:tc>
          <w:tcPr>
            <w:tcW w:w="1269" w:type="dxa"/>
            <w:vAlign w:val="center"/>
          </w:tcPr>
          <w:p w14:paraId="4BE0F8BC" w14:textId="77777777" w:rsidR="00E438D0" w:rsidRPr="0086390D" w:rsidRDefault="00E438D0" w:rsidP="0086390D">
            <w:pPr>
              <w:pStyle w:val="TableParagraph"/>
              <w:ind w:left="0"/>
              <w:jc w:val="center"/>
              <w:rPr>
                <w:sz w:val="20"/>
                <w:szCs w:val="20"/>
              </w:rPr>
            </w:pPr>
            <w:r w:rsidRPr="0086390D">
              <w:rPr>
                <w:sz w:val="20"/>
                <w:szCs w:val="20"/>
              </w:rPr>
              <w:t>16QAM</w:t>
            </w:r>
          </w:p>
        </w:tc>
        <w:tc>
          <w:tcPr>
            <w:tcW w:w="1534" w:type="dxa"/>
            <w:vAlign w:val="center"/>
          </w:tcPr>
          <w:p w14:paraId="10B3299A" w14:textId="77777777" w:rsidR="00E438D0" w:rsidRPr="0086390D" w:rsidRDefault="00E438D0" w:rsidP="0086390D">
            <w:pPr>
              <w:pStyle w:val="TableParagraph"/>
              <w:ind w:left="0"/>
              <w:jc w:val="center"/>
              <w:rPr>
                <w:sz w:val="20"/>
                <w:szCs w:val="20"/>
              </w:rPr>
            </w:pPr>
            <w:r w:rsidRPr="0086390D">
              <w:rPr>
                <w:sz w:val="20"/>
                <w:szCs w:val="20"/>
              </w:rPr>
              <w:t>27</w:t>
            </w:r>
          </w:p>
        </w:tc>
        <w:tc>
          <w:tcPr>
            <w:tcW w:w="1109" w:type="dxa"/>
            <w:vAlign w:val="center"/>
          </w:tcPr>
          <w:p w14:paraId="444FC29A" w14:textId="77777777" w:rsidR="00E438D0" w:rsidRPr="0086390D" w:rsidRDefault="00E438D0" w:rsidP="0086390D">
            <w:pPr>
              <w:pStyle w:val="TableParagraph"/>
              <w:ind w:left="0"/>
              <w:jc w:val="center"/>
              <w:rPr>
                <w:sz w:val="20"/>
                <w:szCs w:val="20"/>
              </w:rPr>
            </w:pPr>
            <w:r w:rsidRPr="0086390D">
              <w:rPr>
                <w:sz w:val="20"/>
                <w:szCs w:val="20"/>
              </w:rPr>
              <w:t>16</w:t>
            </w:r>
          </w:p>
        </w:tc>
        <w:tc>
          <w:tcPr>
            <w:tcW w:w="1377" w:type="dxa"/>
            <w:vAlign w:val="center"/>
          </w:tcPr>
          <w:p w14:paraId="42E956A0" w14:textId="77777777" w:rsidR="00E438D0" w:rsidRPr="0086390D" w:rsidRDefault="00E438D0" w:rsidP="0086390D">
            <w:pPr>
              <w:pStyle w:val="TableParagraph"/>
              <w:ind w:left="0"/>
              <w:jc w:val="center"/>
              <w:rPr>
                <w:sz w:val="20"/>
                <w:szCs w:val="20"/>
              </w:rPr>
            </w:pPr>
            <w:r w:rsidRPr="0086390D">
              <w:rPr>
                <w:sz w:val="20"/>
                <w:szCs w:val="20"/>
              </w:rPr>
              <w:t>19,200</w:t>
            </w:r>
          </w:p>
          <w:p w14:paraId="0CAD194F" w14:textId="77777777" w:rsidR="00E438D0" w:rsidRPr="0086390D" w:rsidRDefault="00E438D0" w:rsidP="0086390D">
            <w:pPr>
              <w:pStyle w:val="TableParagraph"/>
              <w:ind w:left="0"/>
              <w:jc w:val="center"/>
              <w:rPr>
                <w:sz w:val="20"/>
                <w:szCs w:val="20"/>
              </w:rPr>
            </w:pPr>
            <w:r w:rsidRPr="0086390D">
              <w:rPr>
                <w:sz w:val="20"/>
                <w:szCs w:val="20"/>
              </w:rPr>
              <w:t>38,400</w:t>
            </w:r>
          </w:p>
          <w:p w14:paraId="67B0B5BA" w14:textId="77777777" w:rsidR="00E438D0" w:rsidRPr="0086390D" w:rsidRDefault="00E438D0" w:rsidP="0086390D">
            <w:pPr>
              <w:pStyle w:val="TableParagraph"/>
              <w:ind w:left="0"/>
              <w:jc w:val="center"/>
              <w:rPr>
                <w:sz w:val="20"/>
                <w:szCs w:val="20"/>
              </w:rPr>
            </w:pPr>
            <w:r w:rsidRPr="0086390D">
              <w:rPr>
                <w:sz w:val="20"/>
                <w:szCs w:val="20"/>
              </w:rPr>
              <w:t>76,800</w:t>
            </w:r>
          </w:p>
        </w:tc>
        <w:tc>
          <w:tcPr>
            <w:tcW w:w="1232" w:type="dxa"/>
            <w:vAlign w:val="center"/>
          </w:tcPr>
          <w:p w14:paraId="01388C19" w14:textId="77777777" w:rsidR="00E438D0" w:rsidRPr="0086390D" w:rsidRDefault="00E438D0" w:rsidP="0086390D">
            <w:pPr>
              <w:pStyle w:val="TableParagraph"/>
              <w:ind w:left="0"/>
              <w:jc w:val="center"/>
              <w:rPr>
                <w:sz w:val="20"/>
                <w:szCs w:val="20"/>
              </w:rPr>
            </w:pPr>
            <w:r w:rsidRPr="0086390D">
              <w:rPr>
                <w:sz w:val="20"/>
                <w:szCs w:val="20"/>
              </w:rPr>
              <w:t>3/4</w:t>
            </w:r>
          </w:p>
        </w:tc>
        <w:tc>
          <w:tcPr>
            <w:tcW w:w="992" w:type="dxa"/>
            <w:vAlign w:val="center"/>
          </w:tcPr>
          <w:p w14:paraId="7163414B" w14:textId="77777777" w:rsidR="00E438D0" w:rsidRPr="0086390D" w:rsidRDefault="00E438D0" w:rsidP="0086390D">
            <w:pPr>
              <w:pStyle w:val="TableParagraph"/>
              <w:ind w:left="0"/>
              <w:jc w:val="center"/>
              <w:rPr>
                <w:sz w:val="20"/>
                <w:szCs w:val="20"/>
              </w:rPr>
            </w:pPr>
            <w:r w:rsidRPr="0086390D">
              <w:rPr>
                <w:sz w:val="20"/>
                <w:szCs w:val="20"/>
              </w:rPr>
              <w:t>0.3</w:t>
            </w:r>
          </w:p>
        </w:tc>
      </w:tr>
    </w:tbl>
    <w:p w14:paraId="56CEA31E" w14:textId="77777777" w:rsidR="00837414" w:rsidRPr="00837414" w:rsidRDefault="00837414" w:rsidP="00837414">
      <w:pPr>
        <w:pStyle w:val="BodyText"/>
      </w:pPr>
    </w:p>
    <w:p w14:paraId="50549475" w14:textId="77777777" w:rsidR="00F41AD8" w:rsidRDefault="00F41AD8" w:rsidP="00F41AD8">
      <w:pPr>
        <w:pStyle w:val="BodyText"/>
        <w:rPr>
          <w:lang w:eastAsia="ko-KR"/>
        </w:rPr>
      </w:pPr>
      <w:r>
        <w:rPr>
          <w:lang w:eastAsia="ko-KR"/>
        </w:rPr>
        <w:t>In general, it is expected that the receiver for PSK or QAM can accomplish ideal demodulation performance when demodulated in the condition of achieving signal amplitude stabilization, timing and frequency synchronization. In addition, synchronization algorithms typically for this purpose use some known symbols, which is known both at the transmitter and at the receiver, such as training symbols.</w:t>
      </w:r>
    </w:p>
    <w:p w14:paraId="57D02F2F" w14:textId="77777777" w:rsidR="003E0FF4" w:rsidRDefault="00F41AD8" w:rsidP="00F41AD8">
      <w:pPr>
        <w:pStyle w:val="BodyText"/>
        <w:rPr>
          <w:lang w:eastAsia="ko-KR"/>
        </w:rPr>
      </w:pPr>
      <w:r>
        <w:rPr>
          <w:lang w:eastAsia="ko-KR"/>
        </w:rPr>
        <w:t>The training symbol used in VDES is named as '</w:t>
      </w:r>
      <w:proofErr w:type="spellStart"/>
      <w:r>
        <w:rPr>
          <w:lang w:eastAsia="ko-KR"/>
        </w:rPr>
        <w:t>Syncword</w:t>
      </w:r>
      <w:proofErr w:type="spellEnd"/>
      <w:r>
        <w:rPr>
          <w:lang w:eastAsia="ko-KR"/>
        </w:rPr>
        <w:t>' and defined as 27 symbols.</w:t>
      </w:r>
      <w:r w:rsidR="00715C33">
        <w:rPr>
          <w:lang w:eastAsia="ko-KR"/>
        </w:rPr>
        <w:t xml:space="preserve"> The </w:t>
      </w:r>
      <w:proofErr w:type="spellStart"/>
      <w:r w:rsidR="00715C33" w:rsidRPr="00715C33">
        <w:rPr>
          <w:lang w:eastAsia="ko-KR"/>
        </w:rPr>
        <w:t>Syncwords</w:t>
      </w:r>
      <w:proofErr w:type="spellEnd"/>
      <w:r w:rsidR="00715C33" w:rsidRPr="00715C33">
        <w:rPr>
          <w:lang w:eastAsia="ko-KR"/>
        </w:rPr>
        <w:t xml:space="preserve"> are generated by modulating them with PI/4-QPSK after extending 2 Barker code sequences defined in the following table 2 by repeating 2 bits each, to fit QPSK.</w:t>
      </w:r>
    </w:p>
    <w:p w14:paraId="68AF0061" w14:textId="77777777" w:rsidR="00F41AD8" w:rsidRDefault="00F41AD8" w:rsidP="008B1327">
      <w:pPr>
        <w:pStyle w:val="BodyText"/>
        <w:rPr>
          <w:lang w:eastAsia="ko-KR"/>
        </w:rPr>
      </w:pPr>
    </w:p>
    <w:p w14:paraId="1CAE6F11" w14:textId="77777777" w:rsidR="004A79E7" w:rsidRDefault="004A79E7" w:rsidP="004A79E7">
      <w:pPr>
        <w:pStyle w:val="Caption"/>
        <w:keepNext/>
        <w:jc w:val="center"/>
      </w:pPr>
      <w:r>
        <w:t xml:space="preserve">Table </w:t>
      </w:r>
      <w:r w:rsidR="002E362B">
        <w:rPr>
          <w:noProof/>
        </w:rPr>
        <w:fldChar w:fldCharType="begin"/>
      </w:r>
      <w:r w:rsidR="002E362B">
        <w:rPr>
          <w:noProof/>
        </w:rPr>
        <w:instrText xml:space="preserve"> SEQ Table \* ARABIC </w:instrText>
      </w:r>
      <w:r w:rsidR="002E362B">
        <w:rPr>
          <w:noProof/>
        </w:rPr>
        <w:fldChar w:fldCharType="separate"/>
      </w:r>
      <w:r w:rsidR="0086390D">
        <w:rPr>
          <w:noProof/>
        </w:rPr>
        <w:t>2</w:t>
      </w:r>
      <w:r w:rsidR="002E362B">
        <w:rPr>
          <w:noProof/>
        </w:rPr>
        <w:fldChar w:fldCharType="end"/>
      </w:r>
      <w:r>
        <w:t xml:space="preserve"> </w:t>
      </w:r>
      <w:proofErr w:type="spellStart"/>
      <w:r w:rsidRPr="004A79E7">
        <w:t>Syncwords</w:t>
      </w:r>
      <w:proofErr w:type="spellEnd"/>
      <w:r w:rsidRPr="004A79E7">
        <w:t xml:space="preserve"> for VHF data exchange system</w:t>
      </w:r>
    </w:p>
    <w:tbl>
      <w:tblPr>
        <w:tblStyle w:val="TableGrid4"/>
        <w:tblW w:w="9639" w:type="dxa"/>
        <w:jc w:val="center"/>
        <w:tblLayout w:type="fixed"/>
        <w:tblLook w:val="04A0" w:firstRow="1" w:lastRow="0" w:firstColumn="1" w:lastColumn="0" w:noHBand="0" w:noVBand="1"/>
      </w:tblPr>
      <w:tblGrid>
        <w:gridCol w:w="1526"/>
        <w:gridCol w:w="1378"/>
        <w:gridCol w:w="3489"/>
        <w:gridCol w:w="3246"/>
      </w:tblGrid>
      <w:tr w:rsidR="004A79E7" w:rsidRPr="00B06AFF" w14:paraId="15589972" w14:textId="77777777" w:rsidTr="004A79E7">
        <w:trPr>
          <w:jc w:val="center"/>
        </w:trPr>
        <w:tc>
          <w:tcPr>
            <w:tcW w:w="1526" w:type="dxa"/>
          </w:tcPr>
          <w:p w14:paraId="6AE7B33E" w14:textId="77777777" w:rsidR="004A79E7" w:rsidRPr="00B06AFF" w:rsidRDefault="004A79E7" w:rsidP="00B06AFF">
            <w:pPr>
              <w:pStyle w:val="Tablehead"/>
              <w:rPr>
                <w:rFonts w:ascii="Arial" w:hAnsi="Arial" w:cs="Arial"/>
                <w:sz w:val="20"/>
              </w:rPr>
            </w:pPr>
            <w:r w:rsidRPr="00B06AFF">
              <w:rPr>
                <w:rFonts w:ascii="Arial" w:hAnsi="Arial" w:cs="Arial"/>
                <w:sz w:val="20"/>
              </w:rPr>
              <w:t>Usage</w:t>
            </w:r>
          </w:p>
        </w:tc>
        <w:tc>
          <w:tcPr>
            <w:tcW w:w="1378" w:type="dxa"/>
          </w:tcPr>
          <w:p w14:paraId="55D44A15" w14:textId="77777777" w:rsidR="004A79E7" w:rsidRPr="00B06AFF" w:rsidRDefault="004A79E7" w:rsidP="00B06AFF">
            <w:pPr>
              <w:pStyle w:val="Tablehead"/>
              <w:rPr>
                <w:rFonts w:ascii="Arial" w:hAnsi="Arial" w:cs="Arial"/>
                <w:sz w:val="20"/>
              </w:rPr>
            </w:pPr>
            <w:r w:rsidRPr="00B06AFF">
              <w:rPr>
                <w:rFonts w:ascii="Arial" w:hAnsi="Arial" w:cs="Arial"/>
                <w:sz w:val="20"/>
              </w:rPr>
              <w:t>Symbol size</w:t>
            </w:r>
          </w:p>
        </w:tc>
        <w:tc>
          <w:tcPr>
            <w:tcW w:w="3489" w:type="dxa"/>
          </w:tcPr>
          <w:p w14:paraId="4C2AEB82" w14:textId="77777777" w:rsidR="004A79E7" w:rsidRPr="00B06AFF" w:rsidRDefault="004A79E7" w:rsidP="00B06AFF">
            <w:pPr>
              <w:pStyle w:val="Tablehead"/>
              <w:rPr>
                <w:rFonts w:ascii="Arial" w:hAnsi="Arial" w:cs="Arial"/>
                <w:sz w:val="20"/>
              </w:rPr>
            </w:pPr>
            <w:r w:rsidRPr="00B06AFF">
              <w:rPr>
                <w:rFonts w:ascii="Arial" w:hAnsi="Arial" w:cs="Arial"/>
                <w:sz w:val="20"/>
              </w:rPr>
              <w:t>Sequence</w:t>
            </w:r>
          </w:p>
        </w:tc>
        <w:tc>
          <w:tcPr>
            <w:tcW w:w="3246" w:type="dxa"/>
          </w:tcPr>
          <w:p w14:paraId="2599B8F0" w14:textId="77777777" w:rsidR="004A79E7" w:rsidRPr="00B06AFF" w:rsidRDefault="004A79E7" w:rsidP="00B06AFF">
            <w:pPr>
              <w:pStyle w:val="Tablehead"/>
              <w:rPr>
                <w:rFonts w:ascii="Arial" w:hAnsi="Arial" w:cs="Arial"/>
                <w:sz w:val="20"/>
              </w:rPr>
            </w:pPr>
            <w:r w:rsidRPr="00B06AFF">
              <w:rPr>
                <w:rFonts w:ascii="Arial" w:hAnsi="Arial" w:cs="Arial"/>
                <w:sz w:val="20"/>
              </w:rPr>
              <w:t>Type</w:t>
            </w:r>
          </w:p>
        </w:tc>
      </w:tr>
      <w:tr w:rsidR="004A79E7" w:rsidRPr="00B06AFF" w14:paraId="16AFB065" w14:textId="77777777" w:rsidTr="004A79E7">
        <w:trPr>
          <w:jc w:val="center"/>
        </w:trPr>
        <w:tc>
          <w:tcPr>
            <w:tcW w:w="1526" w:type="dxa"/>
            <w:vAlign w:val="center"/>
          </w:tcPr>
          <w:p w14:paraId="03035E1E" w14:textId="77777777" w:rsidR="004A79E7" w:rsidRPr="00B06AFF" w:rsidRDefault="004A79E7" w:rsidP="00B06AFF">
            <w:pPr>
              <w:pStyle w:val="Tabletext"/>
              <w:jc w:val="center"/>
              <w:rPr>
                <w:rFonts w:ascii="Arial" w:hAnsi="Arial" w:cs="Arial"/>
                <w:sz w:val="20"/>
              </w:rPr>
            </w:pPr>
            <w:r w:rsidRPr="00B06AFF">
              <w:rPr>
                <w:rFonts w:ascii="Arial" w:hAnsi="Arial" w:cs="Arial"/>
                <w:sz w:val="20"/>
              </w:rPr>
              <w:t>ASM-TER</w:t>
            </w:r>
          </w:p>
        </w:tc>
        <w:tc>
          <w:tcPr>
            <w:tcW w:w="1378" w:type="dxa"/>
            <w:vMerge w:val="restart"/>
            <w:vAlign w:val="center"/>
          </w:tcPr>
          <w:p w14:paraId="333E651D" w14:textId="77777777" w:rsidR="004A79E7" w:rsidRPr="00B06AFF" w:rsidRDefault="004A79E7" w:rsidP="00B06AFF">
            <w:pPr>
              <w:pStyle w:val="Tabletext"/>
              <w:jc w:val="center"/>
              <w:rPr>
                <w:rFonts w:ascii="Arial" w:hAnsi="Arial" w:cs="Arial"/>
                <w:sz w:val="20"/>
              </w:rPr>
            </w:pPr>
            <w:r w:rsidRPr="00B06AFF">
              <w:rPr>
                <w:rFonts w:ascii="Arial" w:hAnsi="Arial" w:cs="Arial"/>
                <w:sz w:val="20"/>
              </w:rPr>
              <w:t>27</w:t>
            </w:r>
          </w:p>
        </w:tc>
        <w:tc>
          <w:tcPr>
            <w:tcW w:w="3489" w:type="dxa"/>
            <w:vMerge w:val="restart"/>
            <w:vAlign w:val="center"/>
          </w:tcPr>
          <w:p w14:paraId="7BB9D68F" w14:textId="77777777" w:rsidR="004A79E7" w:rsidRPr="00B06AFF" w:rsidRDefault="004A79E7" w:rsidP="00B06AFF">
            <w:pPr>
              <w:pStyle w:val="Tabletext"/>
              <w:jc w:val="center"/>
              <w:rPr>
                <w:rFonts w:ascii="Arial" w:hAnsi="Arial" w:cs="Arial"/>
                <w:sz w:val="20"/>
              </w:rPr>
            </w:pPr>
            <w:r w:rsidRPr="00B06AFF">
              <w:rPr>
                <w:rFonts w:ascii="Arial" w:hAnsi="Arial" w:cs="Arial"/>
                <w:sz w:val="20"/>
              </w:rPr>
              <w:t>1 1111100110101 0000011001010</w:t>
            </w:r>
          </w:p>
        </w:tc>
        <w:tc>
          <w:tcPr>
            <w:tcW w:w="3246" w:type="dxa"/>
            <w:vMerge w:val="restart"/>
            <w:vAlign w:val="center"/>
          </w:tcPr>
          <w:p w14:paraId="236938AB" w14:textId="77777777" w:rsidR="004A79E7" w:rsidRPr="00B06AFF" w:rsidRDefault="004A79E7" w:rsidP="00B06AFF">
            <w:pPr>
              <w:pStyle w:val="Tabletext"/>
              <w:jc w:val="center"/>
              <w:rPr>
                <w:rFonts w:ascii="Arial" w:hAnsi="Arial" w:cs="Arial"/>
                <w:sz w:val="20"/>
              </w:rPr>
            </w:pPr>
            <w:r w:rsidRPr="00B06AFF">
              <w:rPr>
                <w:rFonts w:ascii="Arial" w:hAnsi="Arial" w:cs="Arial"/>
                <w:sz w:val="20"/>
              </w:rPr>
              <w:t>1+ Barker13+ inverted Barker13</w:t>
            </w:r>
          </w:p>
        </w:tc>
      </w:tr>
      <w:tr w:rsidR="004A79E7" w:rsidRPr="00B06AFF" w14:paraId="62DA317F" w14:textId="77777777" w:rsidTr="004A79E7">
        <w:trPr>
          <w:jc w:val="center"/>
        </w:trPr>
        <w:tc>
          <w:tcPr>
            <w:tcW w:w="1526" w:type="dxa"/>
            <w:vAlign w:val="center"/>
          </w:tcPr>
          <w:p w14:paraId="6D0ED5F9" w14:textId="77777777" w:rsidR="004A79E7" w:rsidRPr="00B06AFF" w:rsidRDefault="004A79E7" w:rsidP="00B06AFF">
            <w:pPr>
              <w:pStyle w:val="Tabletext"/>
              <w:jc w:val="center"/>
              <w:rPr>
                <w:rFonts w:ascii="Arial" w:hAnsi="Arial" w:cs="Arial"/>
                <w:sz w:val="20"/>
              </w:rPr>
            </w:pPr>
            <w:r w:rsidRPr="00B06AFF">
              <w:rPr>
                <w:rFonts w:ascii="Arial" w:hAnsi="Arial" w:cs="Arial"/>
                <w:sz w:val="20"/>
              </w:rPr>
              <w:t>VDE-TER</w:t>
            </w:r>
          </w:p>
        </w:tc>
        <w:tc>
          <w:tcPr>
            <w:tcW w:w="1378" w:type="dxa"/>
            <w:vMerge/>
            <w:vAlign w:val="center"/>
          </w:tcPr>
          <w:p w14:paraId="6D33B601" w14:textId="77777777" w:rsidR="004A79E7" w:rsidRPr="00B06AFF" w:rsidRDefault="004A79E7" w:rsidP="00B06AFF">
            <w:pPr>
              <w:pStyle w:val="Tabletext"/>
              <w:jc w:val="center"/>
              <w:rPr>
                <w:sz w:val="20"/>
              </w:rPr>
            </w:pPr>
          </w:p>
        </w:tc>
        <w:tc>
          <w:tcPr>
            <w:tcW w:w="3489" w:type="dxa"/>
            <w:vMerge/>
            <w:vAlign w:val="center"/>
          </w:tcPr>
          <w:p w14:paraId="73DA2AA3" w14:textId="77777777" w:rsidR="004A79E7" w:rsidRPr="00B06AFF" w:rsidRDefault="004A79E7" w:rsidP="00B06AFF">
            <w:pPr>
              <w:pStyle w:val="Tabletext"/>
              <w:jc w:val="center"/>
              <w:rPr>
                <w:sz w:val="20"/>
              </w:rPr>
            </w:pPr>
          </w:p>
        </w:tc>
        <w:tc>
          <w:tcPr>
            <w:tcW w:w="3246" w:type="dxa"/>
            <w:vMerge/>
            <w:vAlign w:val="center"/>
          </w:tcPr>
          <w:p w14:paraId="13A2AD2C" w14:textId="77777777" w:rsidR="004A79E7" w:rsidRPr="00B06AFF" w:rsidRDefault="004A79E7" w:rsidP="00B06AFF">
            <w:pPr>
              <w:pStyle w:val="Tabletext"/>
              <w:jc w:val="center"/>
              <w:rPr>
                <w:sz w:val="20"/>
              </w:rPr>
            </w:pPr>
          </w:p>
        </w:tc>
      </w:tr>
    </w:tbl>
    <w:p w14:paraId="67A9BE09" w14:textId="77777777" w:rsidR="00D818A7" w:rsidRDefault="00D818A7" w:rsidP="008B1327">
      <w:pPr>
        <w:pStyle w:val="BodyText"/>
        <w:rPr>
          <w:lang w:eastAsia="ko-KR"/>
        </w:rPr>
      </w:pPr>
    </w:p>
    <w:p w14:paraId="75EC447F" w14:textId="77777777" w:rsidR="00D26849" w:rsidRDefault="00D26849" w:rsidP="008B1327">
      <w:pPr>
        <w:pStyle w:val="BodyText"/>
        <w:rPr>
          <w:lang w:eastAsia="ko-KR"/>
        </w:rPr>
      </w:pPr>
    </w:p>
    <w:p w14:paraId="040CA531" w14:textId="77777777" w:rsidR="00E733A1" w:rsidRDefault="004C5848" w:rsidP="004C5848">
      <w:pPr>
        <w:pStyle w:val="Heading2"/>
        <w:rPr>
          <w:lang w:eastAsia="ko-KR"/>
        </w:rPr>
      </w:pPr>
      <w:r>
        <w:rPr>
          <w:rFonts w:hint="eastAsia"/>
          <w:lang w:eastAsia="ko-KR"/>
        </w:rPr>
        <w:t>T</w:t>
      </w:r>
      <w:r w:rsidRPr="004C5848">
        <w:rPr>
          <w:lang w:eastAsia="ko-KR"/>
        </w:rPr>
        <w:t>est and required test results for equipment implementing ASM part of the VDES</w:t>
      </w:r>
      <w:r>
        <w:rPr>
          <w:lang w:eastAsia="ko-KR"/>
        </w:rPr>
        <w:t xml:space="preserve"> in IEC PAS 63343</w:t>
      </w:r>
    </w:p>
    <w:p w14:paraId="7429EF63" w14:textId="77777777" w:rsidR="00D02786" w:rsidRDefault="00D02786" w:rsidP="00B511D6">
      <w:pPr>
        <w:pStyle w:val="BodyText"/>
        <w:rPr>
          <w:lang w:eastAsia="ko-KR"/>
        </w:rPr>
      </w:pPr>
      <w:r w:rsidRPr="00D02786">
        <w:rPr>
          <w:lang w:eastAsia="ko-KR"/>
        </w:rPr>
        <w:t xml:space="preserve">IEC PAS </w:t>
      </w:r>
      <w:r w:rsidR="009E33EA">
        <w:rPr>
          <w:lang w:eastAsia="ko-KR"/>
        </w:rPr>
        <w:t>63343 specifies the m</w:t>
      </w:r>
      <w:r w:rsidRPr="00D02786">
        <w:rPr>
          <w:lang w:eastAsia="ko-KR"/>
        </w:rPr>
        <w:t>inimum operational and performance requirements, methods of testing and required test results for ASM stations. Among them, the sensitivity of the receiver of the ASM stations must comply with the requirements of Table 3</w:t>
      </w:r>
      <w:r>
        <w:rPr>
          <w:lang w:eastAsia="ko-KR"/>
        </w:rPr>
        <w:t>.</w:t>
      </w:r>
    </w:p>
    <w:p w14:paraId="07D197B6" w14:textId="77777777" w:rsidR="00FA7345" w:rsidRPr="00B06AFF" w:rsidRDefault="00FA7345" w:rsidP="00B511D6">
      <w:pPr>
        <w:pStyle w:val="BodyText"/>
        <w:rPr>
          <w:lang w:eastAsia="ko-KR"/>
        </w:rPr>
      </w:pPr>
      <w:r w:rsidRPr="00FA7345">
        <w:rPr>
          <w:lang w:eastAsia="ko-KR"/>
        </w:rPr>
        <w:t xml:space="preserve">Receiver sensitivity test is performed using Test Signal 6 as defined in IEC PAS 63343 according to the method described in IEC 61993-2:2018, 15.2.1.2 at channel center frequencies 161,950 and 162,000 </w:t>
      </w:r>
      <w:proofErr w:type="spellStart"/>
      <w:r w:rsidRPr="00FA7345">
        <w:rPr>
          <w:lang w:eastAsia="ko-KR"/>
        </w:rPr>
        <w:t>MHz.</w:t>
      </w:r>
      <w:proofErr w:type="spellEnd"/>
    </w:p>
    <w:p w14:paraId="0EB5E694" w14:textId="77777777" w:rsidR="00B06AFF" w:rsidRDefault="00B06AFF" w:rsidP="00D26849">
      <w:pPr>
        <w:pStyle w:val="BodyText"/>
        <w:rPr>
          <w:lang w:eastAsia="ko-KR"/>
        </w:rPr>
      </w:pPr>
    </w:p>
    <w:p w14:paraId="735B7DD9" w14:textId="77777777" w:rsidR="00B06AFF" w:rsidRDefault="00B06AFF" w:rsidP="00B06AFF">
      <w:pPr>
        <w:pStyle w:val="Caption"/>
        <w:keepNext/>
      </w:pPr>
      <w:r>
        <w:t xml:space="preserve">Table </w:t>
      </w:r>
      <w:r w:rsidR="002E362B">
        <w:rPr>
          <w:noProof/>
        </w:rPr>
        <w:fldChar w:fldCharType="begin"/>
      </w:r>
      <w:r w:rsidR="002E362B">
        <w:rPr>
          <w:noProof/>
        </w:rPr>
        <w:instrText xml:space="preserve"> SEQ Table \* ARABIC </w:instrText>
      </w:r>
      <w:r w:rsidR="002E362B">
        <w:rPr>
          <w:noProof/>
        </w:rPr>
        <w:fldChar w:fldCharType="separate"/>
      </w:r>
      <w:r w:rsidR="0086390D">
        <w:rPr>
          <w:noProof/>
        </w:rPr>
        <w:t>3</w:t>
      </w:r>
      <w:r w:rsidR="002E362B">
        <w:rPr>
          <w:noProof/>
        </w:rPr>
        <w:fldChar w:fldCharType="end"/>
      </w:r>
      <w:r>
        <w:t xml:space="preserve"> </w:t>
      </w:r>
      <w:r w:rsidRPr="00B06AFF">
        <w:t>Receiver requirements without FEC (using Link ID 1)</w:t>
      </w:r>
      <w:r w:rsidR="00197B7C">
        <w:t xml:space="preserve"> - </w:t>
      </w:r>
      <w:r w:rsidR="00197B7C" w:rsidRPr="00197B7C">
        <w:t>IEC PAS 63343</w:t>
      </w:r>
    </w:p>
    <w:tbl>
      <w:tblPr>
        <w:tblStyle w:val="TableNormal1"/>
        <w:tblW w:w="96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4"/>
        <w:gridCol w:w="1408"/>
        <w:gridCol w:w="4409"/>
        <w:gridCol w:w="2405"/>
        <w:gridCol w:w="707"/>
      </w:tblGrid>
      <w:tr w:rsidR="006B3B2D" w14:paraId="5208C05C" w14:textId="77777777" w:rsidTr="006B3B2D">
        <w:trPr>
          <w:trHeight w:val="301"/>
        </w:trPr>
        <w:tc>
          <w:tcPr>
            <w:tcW w:w="704" w:type="dxa"/>
            <w:vMerge w:val="restart"/>
          </w:tcPr>
          <w:p w14:paraId="17F7F5FB" w14:textId="77777777" w:rsidR="006B3B2D" w:rsidRPr="006B3B2D" w:rsidRDefault="006B3B2D" w:rsidP="006B3B2D">
            <w:pPr>
              <w:pStyle w:val="TableParagraph"/>
              <w:spacing w:before="0"/>
              <w:ind w:left="57"/>
              <w:jc w:val="center"/>
              <w:rPr>
                <w:sz w:val="20"/>
              </w:rPr>
            </w:pPr>
            <w:r w:rsidRPr="006B3B2D">
              <w:rPr>
                <w:sz w:val="20"/>
                <w:szCs w:val="20"/>
              </w:rPr>
              <w:t>Test Signal</w:t>
            </w:r>
          </w:p>
        </w:tc>
        <w:tc>
          <w:tcPr>
            <w:tcW w:w="1408" w:type="dxa"/>
            <w:vMerge w:val="restart"/>
          </w:tcPr>
          <w:p w14:paraId="1EA4534F" w14:textId="77777777" w:rsidR="006B3B2D" w:rsidRPr="006B3B2D" w:rsidRDefault="006B3B2D" w:rsidP="006B3B2D">
            <w:pPr>
              <w:pStyle w:val="TableParagraph"/>
              <w:spacing w:before="0"/>
              <w:ind w:left="57"/>
              <w:jc w:val="center"/>
              <w:rPr>
                <w:sz w:val="20"/>
              </w:rPr>
            </w:pPr>
            <w:r w:rsidRPr="006B3B2D">
              <w:rPr>
                <w:sz w:val="20"/>
              </w:rPr>
              <w:t>Receiver parameters</w:t>
            </w:r>
          </w:p>
        </w:tc>
        <w:tc>
          <w:tcPr>
            <w:tcW w:w="6814" w:type="dxa"/>
            <w:gridSpan w:val="2"/>
          </w:tcPr>
          <w:p w14:paraId="211CCF39" w14:textId="77777777" w:rsidR="006B3B2D" w:rsidRPr="006B3B2D" w:rsidRDefault="006B3B2D" w:rsidP="00B06AFF">
            <w:pPr>
              <w:pStyle w:val="TableParagraph"/>
              <w:spacing w:before="0"/>
              <w:ind w:left="57" w:right="2115"/>
              <w:jc w:val="center"/>
              <w:rPr>
                <w:sz w:val="20"/>
              </w:rPr>
            </w:pPr>
            <w:r w:rsidRPr="006B3B2D">
              <w:rPr>
                <w:sz w:val="20"/>
              </w:rPr>
              <w:t>Requirements</w:t>
            </w:r>
          </w:p>
        </w:tc>
        <w:tc>
          <w:tcPr>
            <w:tcW w:w="707" w:type="dxa"/>
            <w:vMerge w:val="restart"/>
          </w:tcPr>
          <w:p w14:paraId="69468928" w14:textId="77777777" w:rsidR="006B3B2D" w:rsidRPr="006B3B2D" w:rsidRDefault="006B3B2D" w:rsidP="006B3B2D">
            <w:pPr>
              <w:pStyle w:val="TableParagraph"/>
              <w:spacing w:before="0"/>
              <w:ind w:left="57"/>
              <w:jc w:val="center"/>
              <w:rPr>
                <w:sz w:val="20"/>
              </w:rPr>
            </w:pPr>
            <w:r w:rsidRPr="006B3B2D">
              <w:rPr>
                <w:sz w:val="20"/>
              </w:rPr>
              <w:t>Note</w:t>
            </w:r>
          </w:p>
        </w:tc>
      </w:tr>
      <w:tr w:rsidR="006B3B2D" w14:paraId="2BBD1EBB" w14:textId="77777777" w:rsidTr="006B3B2D">
        <w:trPr>
          <w:trHeight w:val="301"/>
        </w:trPr>
        <w:tc>
          <w:tcPr>
            <w:tcW w:w="704" w:type="dxa"/>
            <w:vMerge/>
          </w:tcPr>
          <w:p w14:paraId="34C87ACA" w14:textId="77777777" w:rsidR="006B3B2D" w:rsidRPr="006B3B2D" w:rsidRDefault="006B3B2D" w:rsidP="006B3B2D">
            <w:pPr>
              <w:ind w:left="57"/>
              <w:jc w:val="center"/>
              <w:rPr>
                <w:sz w:val="20"/>
                <w:szCs w:val="2"/>
              </w:rPr>
            </w:pPr>
          </w:p>
        </w:tc>
        <w:tc>
          <w:tcPr>
            <w:tcW w:w="1408" w:type="dxa"/>
            <w:vMerge/>
            <w:tcBorders>
              <w:top w:val="nil"/>
            </w:tcBorders>
          </w:tcPr>
          <w:p w14:paraId="0A1B6A68" w14:textId="77777777" w:rsidR="006B3B2D" w:rsidRPr="006B3B2D" w:rsidRDefault="006B3B2D" w:rsidP="006B3B2D">
            <w:pPr>
              <w:ind w:left="57"/>
              <w:jc w:val="center"/>
              <w:rPr>
                <w:sz w:val="20"/>
                <w:szCs w:val="2"/>
              </w:rPr>
            </w:pPr>
          </w:p>
        </w:tc>
        <w:tc>
          <w:tcPr>
            <w:tcW w:w="4409" w:type="dxa"/>
          </w:tcPr>
          <w:p w14:paraId="58CDD525" w14:textId="77777777" w:rsidR="006B3B2D" w:rsidRPr="006B3B2D" w:rsidRDefault="006B3B2D" w:rsidP="00B06AFF">
            <w:pPr>
              <w:pStyle w:val="TableParagraph"/>
              <w:spacing w:before="0"/>
              <w:ind w:left="57" w:right="1758"/>
              <w:jc w:val="center"/>
              <w:rPr>
                <w:sz w:val="20"/>
              </w:rPr>
            </w:pPr>
            <w:r w:rsidRPr="006B3B2D">
              <w:rPr>
                <w:sz w:val="20"/>
              </w:rPr>
              <w:t>Normal</w:t>
            </w:r>
          </w:p>
        </w:tc>
        <w:tc>
          <w:tcPr>
            <w:tcW w:w="2405" w:type="dxa"/>
          </w:tcPr>
          <w:p w14:paraId="6B76E393" w14:textId="77777777" w:rsidR="006B3B2D" w:rsidRPr="006B3B2D" w:rsidRDefault="006B3B2D" w:rsidP="00B06AFF">
            <w:pPr>
              <w:pStyle w:val="TableParagraph"/>
              <w:spacing w:before="0"/>
              <w:ind w:left="57"/>
              <w:jc w:val="center"/>
              <w:rPr>
                <w:sz w:val="20"/>
              </w:rPr>
            </w:pPr>
            <w:r w:rsidRPr="006B3B2D">
              <w:rPr>
                <w:sz w:val="20"/>
              </w:rPr>
              <w:t>Extreme</w:t>
            </w:r>
          </w:p>
        </w:tc>
        <w:tc>
          <w:tcPr>
            <w:tcW w:w="707" w:type="dxa"/>
            <w:vMerge/>
            <w:tcBorders>
              <w:top w:val="nil"/>
            </w:tcBorders>
          </w:tcPr>
          <w:p w14:paraId="4B057743" w14:textId="77777777" w:rsidR="006B3B2D" w:rsidRPr="006B3B2D" w:rsidRDefault="006B3B2D" w:rsidP="006B3B2D">
            <w:pPr>
              <w:ind w:left="57"/>
              <w:jc w:val="center"/>
              <w:rPr>
                <w:sz w:val="20"/>
                <w:szCs w:val="2"/>
              </w:rPr>
            </w:pPr>
          </w:p>
        </w:tc>
      </w:tr>
      <w:tr w:rsidR="006B3B2D" w14:paraId="7FB4E0B6" w14:textId="77777777" w:rsidTr="006B3B2D">
        <w:trPr>
          <w:trHeight w:val="561"/>
        </w:trPr>
        <w:tc>
          <w:tcPr>
            <w:tcW w:w="704" w:type="dxa"/>
          </w:tcPr>
          <w:p w14:paraId="1150BA29" w14:textId="77777777" w:rsidR="006B3B2D" w:rsidRPr="006B3B2D" w:rsidRDefault="006B3B2D" w:rsidP="006B3B2D">
            <w:pPr>
              <w:pStyle w:val="TableParagraph"/>
              <w:spacing w:before="0"/>
              <w:ind w:left="57"/>
              <w:jc w:val="center"/>
              <w:rPr>
                <w:rFonts w:eastAsiaTheme="minorEastAsia"/>
                <w:sz w:val="20"/>
                <w:lang w:eastAsia="ko-KR"/>
              </w:rPr>
            </w:pPr>
            <w:r w:rsidRPr="006B3B2D">
              <w:rPr>
                <w:rFonts w:eastAsiaTheme="minorEastAsia" w:hint="eastAsia"/>
                <w:sz w:val="20"/>
                <w:lang w:eastAsia="ko-KR"/>
              </w:rPr>
              <w:t>6</w:t>
            </w:r>
          </w:p>
        </w:tc>
        <w:tc>
          <w:tcPr>
            <w:tcW w:w="1408" w:type="dxa"/>
          </w:tcPr>
          <w:p w14:paraId="610282A5" w14:textId="77777777" w:rsidR="006B3B2D" w:rsidRPr="006B3B2D" w:rsidRDefault="006B3B2D" w:rsidP="006B3B2D">
            <w:pPr>
              <w:pStyle w:val="TableParagraph"/>
              <w:spacing w:before="0"/>
              <w:ind w:left="57"/>
              <w:jc w:val="center"/>
              <w:rPr>
                <w:sz w:val="20"/>
              </w:rPr>
            </w:pPr>
            <w:r w:rsidRPr="006B3B2D">
              <w:rPr>
                <w:sz w:val="20"/>
              </w:rPr>
              <w:t>Sensitivity</w:t>
            </w:r>
          </w:p>
        </w:tc>
        <w:tc>
          <w:tcPr>
            <w:tcW w:w="4409" w:type="dxa"/>
          </w:tcPr>
          <w:p w14:paraId="385AE648" w14:textId="77777777" w:rsidR="006B3B2D" w:rsidRPr="006B3B2D" w:rsidRDefault="006B3B2D" w:rsidP="00B06AFF">
            <w:pPr>
              <w:pStyle w:val="TableParagraph"/>
              <w:spacing w:before="0"/>
              <w:ind w:left="57"/>
              <w:rPr>
                <w:sz w:val="20"/>
              </w:rPr>
            </w:pPr>
            <w:r w:rsidRPr="006B3B2D">
              <w:rPr>
                <w:sz w:val="20"/>
              </w:rPr>
              <w:t>20% PER at −107 dBm</w:t>
            </w:r>
          </w:p>
          <w:p w14:paraId="1241390B" w14:textId="77777777" w:rsidR="006B3B2D" w:rsidRPr="006B3B2D" w:rsidRDefault="006B3B2D" w:rsidP="00B06AFF">
            <w:pPr>
              <w:pStyle w:val="TableParagraph"/>
              <w:spacing w:before="0"/>
              <w:ind w:left="57"/>
              <w:rPr>
                <w:sz w:val="20"/>
              </w:rPr>
            </w:pPr>
            <w:r w:rsidRPr="006B3B2D">
              <w:rPr>
                <w:sz w:val="20"/>
              </w:rPr>
              <w:t>20% PER at -104 dBm at +/-250 Hz offset</w:t>
            </w:r>
          </w:p>
        </w:tc>
        <w:tc>
          <w:tcPr>
            <w:tcW w:w="2405" w:type="dxa"/>
          </w:tcPr>
          <w:p w14:paraId="6B360926" w14:textId="77777777" w:rsidR="006B3B2D" w:rsidRPr="006B3B2D" w:rsidRDefault="006B3B2D" w:rsidP="00B06AFF">
            <w:pPr>
              <w:pStyle w:val="TableParagraph"/>
              <w:spacing w:before="0"/>
              <w:ind w:left="57"/>
              <w:rPr>
                <w:sz w:val="20"/>
              </w:rPr>
            </w:pPr>
            <w:r w:rsidRPr="006B3B2D">
              <w:rPr>
                <w:sz w:val="20"/>
              </w:rPr>
              <w:t>20% PER @ -104 dBm</w:t>
            </w:r>
          </w:p>
        </w:tc>
        <w:tc>
          <w:tcPr>
            <w:tcW w:w="707" w:type="dxa"/>
          </w:tcPr>
          <w:p w14:paraId="1309F2D0" w14:textId="77777777" w:rsidR="006B3B2D" w:rsidRPr="006B3B2D" w:rsidRDefault="006B3B2D" w:rsidP="006B3B2D">
            <w:pPr>
              <w:pStyle w:val="TableParagraph"/>
              <w:spacing w:before="0"/>
              <w:ind w:left="57"/>
              <w:jc w:val="center"/>
              <w:rPr>
                <w:sz w:val="20"/>
              </w:rPr>
            </w:pPr>
            <w:r w:rsidRPr="006B3B2D">
              <w:rPr>
                <w:sz w:val="20"/>
              </w:rPr>
              <w:t>3</w:t>
            </w:r>
          </w:p>
        </w:tc>
      </w:tr>
      <w:tr w:rsidR="006B3B2D" w14:paraId="4F3BB89C" w14:textId="77777777" w:rsidTr="006B3B2D">
        <w:trPr>
          <w:trHeight w:val="68"/>
        </w:trPr>
        <w:tc>
          <w:tcPr>
            <w:tcW w:w="9633" w:type="dxa"/>
            <w:gridSpan w:val="5"/>
          </w:tcPr>
          <w:p w14:paraId="591DAD70" w14:textId="77777777" w:rsidR="006B3B2D" w:rsidRDefault="006B3B2D" w:rsidP="00B06AFF">
            <w:pPr>
              <w:pStyle w:val="TableParagraph"/>
              <w:ind w:left="57"/>
              <w:rPr>
                <w:sz w:val="16"/>
              </w:rPr>
            </w:pPr>
            <w:r>
              <w:rPr>
                <w:sz w:val="16"/>
              </w:rPr>
              <w:t>NOTES:</w:t>
            </w:r>
          </w:p>
          <w:p w14:paraId="62937D53" w14:textId="77777777" w:rsidR="006B3B2D" w:rsidRDefault="006B3B2D" w:rsidP="006B3B2D">
            <w:pPr>
              <w:pStyle w:val="TableParagraph"/>
              <w:spacing w:before="0" w:line="240" w:lineRule="exact"/>
              <w:ind w:left="57" w:right="4474"/>
              <w:rPr>
                <w:sz w:val="16"/>
              </w:rPr>
            </w:pPr>
            <w:r>
              <w:rPr>
                <w:sz w:val="16"/>
              </w:rPr>
              <w:t>3: The offsets are half the values used in AIS (61993-2) as the frequency accuracy in ASM is much better</w:t>
            </w:r>
          </w:p>
        </w:tc>
      </w:tr>
    </w:tbl>
    <w:p w14:paraId="4126223F" w14:textId="77777777" w:rsidR="00B06AFF" w:rsidRDefault="00B06AFF" w:rsidP="00D26849">
      <w:pPr>
        <w:pStyle w:val="BodyText"/>
        <w:rPr>
          <w:lang w:eastAsia="ko-KR"/>
        </w:rPr>
      </w:pPr>
    </w:p>
    <w:p w14:paraId="6EFCA21A" w14:textId="77777777" w:rsidR="00A52AAC" w:rsidRPr="00A52AAC" w:rsidRDefault="00A52AAC" w:rsidP="00D26849">
      <w:pPr>
        <w:pStyle w:val="BodyText"/>
        <w:rPr>
          <w:lang w:eastAsia="ko-KR"/>
        </w:rPr>
      </w:pPr>
    </w:p>
    <w:p w14:paraId="6CE3A9C4" w14:textId="77777777" w:rsidR="008B1327" w:rsidRPr="00837414" w:rsidRDefault="00313B9C" w:rsidP="008B1327">
      <w:pPr>
        <w:pStyle w:val="Heading1"/>
        <w:numPr>
          <w:ilvl w:val="0"/>
          <w:numId w:val="14"/>
        </w:numPr>
        <w:jc w:val="both"/>
      </w:pPr>
      <w:r w:rsidRPr="00837414">
        <w:rPr>
          <w:lang w:eastAsia="ko-KR"/>
        </w:rPr>
        <w:t>P</w:t>
      </w:r>
      <w:r w:rsidR="00506630" w:rsidRPr="00837414">
        <w:rPr>
          <w:rFonts w:hint="eastAsia"/>
          <w:lang w:eastAsia="ko-KR"/>
        </w:rPr>
        <w:t xml:space="preserve">ER Performance Analysis Under </w:t>
      </w:r>
      <w:r w:rsidR="008B1327" w:rsidRPr="00837414">
        <w:rPr>
          <w:rFonts w:hint="eastAsia"/>
          <w:lang w:eastAsia="ko-KR"/>
        </w:rPr>
        <w:t>Carrier Frequency Offset</w:t>
      </w:r>
    </w:p>
    <w:p w14:paraId="74F4BAD0" w14:textId="77777777" w:rsidR="008B1327" w:rsidRPr="00605E43" w:rsidRDefault="008B1327" w:rsidP="00F546C6">
      <w:pPr>
        <w:pStyle w:val="Heading2"/>
      </w:pPr>
      <w:r>
        <w:rPr>
          <w:rFonts w:hint="eastAsia"/>
          <w:lang w:eastAsia="ko-KR"/>
        </w:rPr>
        <w:t xml:space="preserve">Carrier Recovery </w:t>
      </w:r>
      <w:r w:rsidR="00F546C6" w:rsidRPr="00F546C6">
        <w:rPr>
          <w:lang w:eastAsia="ko-KR"/>
        </w:rPr>
        <w:t>for the estimation and compensation of frequency offsets</w:t>
      </w:r>
      <w:r>
        <w:rPr>
          <w:rFonts w:hint="eastAsia"/>
          <w:lang w:eastAsia="ko-KR"/>
        </w:rPr>
        <w:t xml:space="preserve"> with </w:t>
      </w:r>
      <w:r w:rsidR="006F3A92" w:rsidRPr="006F3A92">
        <w:rPr>
          <w:lang w:eastAsia="ko-KR"/>
        </w:rPr>
        <w:t>ITU-R M.2092-1</w:t>
      </w:r>
    </w:p>
    <w:p w14:paraId="6BAFAC14" w14:textId="77777777" w:rsidR="000258B0" w:rsidRDefault="000258B0" w:rsidP="000258B0">
      <w:pPr>
        <w:pStyle w:val="BodyText"/>
        <w:rPr>
          <w:lang w:eastAsia="ko-KR"/>
        </w:rPr>
      </w:pPr>
      <w:r>
        <w:rPr>
          <w:lang w:eastAsia="ko-KR"/>
        </w:rPr>
        <w:t>VDES uses</w:t>
      </w:r>
      <w:r w:rsidRPr="00AD0A80">
        <w:rPr>
          <w:lang w:eastAsia="ko-KR"/>
        </w:rPr>
        <w:t xml:space="preserve"> </w:t>
      </w:r>
      <w:r>
        <w:rPr>
          <w:lang w:eastAsia="ko-KR"/>
        </w:rPr>
        <w:t>π</w:t>
      </w:r>
      <w:r w:rsidRPr="00AD0A80">
        <w:rPr>
          <w:lang w:eastAsia="ko-KR"/>
        </w:rPr>
        <w:t xml:space="preserve">/4-QPSK, 8PSK and 16-QAM modulation </w:t>
      </w:r>
      <w:r>
        <w:rPr>
          <w:lang w:eastAsia="ko-KR"/>
        </w:rPr>
        <w:t xml:space="preserve">methods </w:t>
      </w:r>
      <w:r w:rsidRPr="00AD0A80">
        <w:rPr>
          <w:lang w:eastAsia="ko-KR"/>
        </w:rPr>
        <w:t xml:space="preserve">according to </w:t>
      </w:r>
      <w:r>
        <w:rPr>
          <w:rFonts w:hint="eastAsia"/>
          <w:lang w:eastAsia="ko-KR"/>
        </w:rPr>
        <w:t>ITU-R M.2092-1</w:t>
      </w:r>
      <w:r>
        <w:rPr>
          <w:lang w:eastAsia="ko-KR"/>
        </w:rPr>
        <w:t>, but t</w:t>
      </w:r>
      <w:proofErr w:type="spellStart"/>
      <w:r>
        <w:rPr>
          <w:lang w:val="en-US" w:eastAsia="ko-KR"/>
        </w:rPr>
        <w:t>hese</w:t>
      </w:r>
      <w:proofErr w:type="spellEnd"/>
      <w:r>
        <w:rPr>
          <w:lang w:eastAsia="ko-KR"/>
        </w:rPr>
        <w:t xml:space="preserve"> kinds of modulation </w:t>
      </w:r>
      <w:r>
        <w:rPr>
          <w:lang w:val="en-US" w:eastAsia="ko-KR"/>
        </w:rPr>
        <w:t>methods</w:t>
      </w:r>
      <w:r>
        <w:rPr>
          <w:lang w:eastAsia="ko-KR"/>
        </w:rPr>
        <w:t xml:space="preserve"> are sensitive to frequency offsets, therefore, it should be designed with coherent receiver which applying </w:t>
      </w:r>
      <w:proofErr w:type="gramStart"/>
      <w:r>
        <w:rPr>
          <w:lang w:eastAsia="ko-KR"/>
        </w:rPr>
        <w:t>CR(</w:t>
      </w:r>
      <w:proofErr w:type="gramEnd"/>
      <w:r>
        <w:rPr>
          <w:lang w:eastAsia="ko-KR"/>
        </w:rPr>
        <w:t xml:space="preserve">Carrier Recovery) </w:t>
      </w:r>
      <w:r>
        <w:rPr>
          <w:rFonts w:hint="eastAsia"/>
          <w:lang w:eastAsia="ko-KR"/>
        </w:rPr>
        <w:t>algorithm</w:t>
      </w:r>
      <w:r>
        <w:rPr>
          <w:lang w:eastAsia="ko-KR"/>
        </w:rPr>
        <w:t xml:space="preserve"> </w:t>
      </w:r>
      <w:r>
        <w:rPr>
          <w:lang w:val="en-US" w:eastAsia="ko-KR"/>
        </w:rPr>
        <w:t>for</w:t>
      </w:r>
      <w:r>
        <w:rPr>
          <w:lang w:eastAsia="ko-KR"/>
        </w:rPr>
        <w:t xml:space="preserve"> the estimation and compensation of frequency offsets.</w:t>
      </w:r>
    </w:p>
    <w:p w14:paraId="4D697878" w14:textId="77777777" w:rsidR="00383FF0" w:rsidRDefault="00383FF0" w:rsidP="000258B0">
      <w:pPr>
        <w:pStyle w:val="BodyText"/>
        <w:rPr>
          <w:lang w:eastAsia="ko-KR"/>
        </w:rPr>
      </w:pPr>
      <w:r w:rsidRPr="00383FF0">
        <w:rPr>
          <w:lang w:eastAsia="ko-KR"/>
        </w:rPr>
        <w:t xml:space="preserve">The test to confirm the receiver sensitivity requirements in IEC PAS 63343 </w:t>
      </w:r>
      <w:r w:rsidR="002F2CB5">
        <w:rPr>
          <w:lang w:eastAsia="ko-KR"/>
        </w:rPr>
        <w:t>should</w:t>
      </w:r>
      <w:r w:rsidRPr="00383FF0">
        <w:rPr>
          <w:lang w:eastAsia="ko-KR"/>
        </w:rPr>
        <w:t xml:space="preserve"> be repeated at 161,950 MHz ± 250 Hz and 162,000 MHz ± 250 Hz with the receiver input level adjusted to -104 dBm under normal conditions.</w:t>
      </w:r>
    </w:p>
    <w:p w14:paraId="623F8183" w14:textId="77777777" w:rsidR="000A15FA" w:rsidRDefault="00A64BD4" w:rsidP="00A64BD4">
      <w:pPr>
        <w:pStyle w:val="BodyText"/>
        <w:rPr>
          <w:lang w:eastAsia="ko-KR"/>
        </w:rPr>
      </w:pPr>
      <w:r>
        <w:rPr>
          <w:lang w:eastAsia="ko-KR"/>
        </w:rPr>
        <w:t xml:space="preserve">Since the frequency offset 250Hz corresponds to 2.6% of ASM symbol rate and 1.3% in case of VDE-TER Link ID 11, it is not easy to perform the CR function using the </w:t>
      </w:r>
      <w:proofErr w:type="spellStart"/>
      <w:r>
        <w:rPr>
          <w:rFonts w:hint="eastAsia"/>
          <w:lang w:eastAsia="ko-KR"/>
        </w:rPr>
        <w:t>s</w:t>
      </w:r>
      <w:r>
        <w:rPr>
          <w:lang w:eastAsia="ko-KR"/>
        </w:rPr>
        <w:t>yncwords</w:t>
      </w:r>
      <w:proofErr w:type="spellEnd"/>
      <w:r>
        <w:rPr>
          <w:lang w:eastAsia="ko-KR"/>
        </w:rPr>
        <w:t xml:space="preserve"> of 27 symbols. Generally, CR is composed of the coarse CR to handle a wide frequency offset and a CR tracking to track a narrow range of residual frequency offset as shown in Figure 1.</w:t>
      </w:r>
    </w:p>
    <w:p w14:paraId="39586A56" w14:textId="77777777" w:rsidR="000258B0" w:rsidRDefault="000258B0" w:rsidP="000258B0">
      <w:pPr>
        <w:pStyle w:val="BodyText"/>
        <w:rPr>
          <w:lang w:eastAsia="ko-KR"/>
        </w:rPr>
      </w:pPr>
    </w:p>
    <w:p w14:paraId="0FF446BA" w14:textId="77777777" w:rsidR="00E438D0" w:rsidRDefault="00E438D0" w:rsidP="00245BDF">
      <w:pPr>
        <w:pStyle w:val="BodyText"/>
        <w:jc w:val="center"/>
        <w:rPr>
          <w:lang w:eastAsia="ko-KR"/>
        </w:rPr>
      </w:pPr>
      <w:r w:rsidRPr="00E438D0">
        <w:rPr>
          <w:noProof/>
          <w:lang w:val="en-US" w:eastAsia="ko-KR"/>
        </w:rPr>
        <w:drawing>
          <wp:inline distT="0" distB="0" distL="0" distR="0" wp14:anchorId="280DEC7A" wp14:editId="3935C788">
            <wp:extent cx="4343400" cy="1133475"/>
            <wp:effectExtent l="0" t="0" r="0" b="0"/>
            <wp:docPr id="1" name="그림 1"/>
            <wp:cNvGraphicFramePr/>
            <a:graphic xmlns:a="http://schemas.openxmlformats.org/drawingml/2006/main">
              <a:graphicData uri="http://schemas.openxmlformats.org/drawingml/2006/picture">
                <pic:pic xmlns:pic="http://schemas.openxmlformats.org/drawingml/2006/picture">
                  <pic:nvPicPr>
                    <pic:cNvPr id="9" name="그림 8"/>
                    <pic:cNvPicPr>
                      <a:picLocks noChangeAspect="1"/>
                    </pic:cNvPicPr>
                  </pic:nvPicPr>
                  <pic:blipFill>
                    <a:blip r:embed="rId10"/>
                    <a:stretch>
                      <a:fillRect/>
                    </a:stretch>
                  </pic:blipFill>
                  <pic:spPr>
                    <a:xfrm>
                      <a:off x="0" y="0"/>
                      <a:ext cx="4343340" cy="1133459"/>
                    </a:xfrm>
                    <a:prstGeom prst="rect">
                      <a:avLst/>
                    </a:prstGeom>
                  </pic:spPr>
                </pic:pic>
              </a:graphicData>
            </a:graphic>
          </wp:inline>
        </w:drawing>
      </w:r>
    </w:p>
    <w:p w14:paraId="294A0D1C" w14:textId="77777777" w:rsidR="00245BDF" w:rsidRPr="00245BDF" w:rsidRDefault="00245BDF" w:rsidP="00D818A7">
      <w:pPr>
        <w:pStyle w:val="Caption"/>
        <w:jc w:val="center"/>
        <w:rPr>
          <w:lang w:eastAsia="ko-KR"/>
        </w:rPr>
      </w:pPr>
      <w:r w:rsidRPr="002F73D4">
        <w:rPr>
          <w:lang w:eastAsia="ko-KR"/>
        </w:rPr>
        <w:t xml:space="preserve">Figure </w:t>
      </w:r>
      <w:r w:rsidR="00542DA4" w:rsidRPr="002F73D4">
        <w:fldChar w:fldCharType="begin"/>
      </w:r>
      <w:r w:rsidRPr="002F73D4">
        <w:rPr>
          <w:lang w:eastAsia="ko-KR"/>
        </w:rPr>
        <w:instrText xml:space="preserve"> SEQ Figure \* ARABIC </w:instrText>
      </w:r>
      <w:r w:rsidR="00542DA4" w:rsidRPr="002F73D4">
        <w:fldChar w:fldCharType="separate"/>
      </w:r>
      <w:r w:rsidR="00577104">
        <w:rPr>
          <w:noProof/>
          <w:lang w:eastAsia="ko-KR"/>
        </w:rPr>
        <w:t>1</w:t>
      </w:r>
      <w:r w:rsidR="00542DA4" w:rsidRPr="002F73D4">
        <w:fldChar w:fldCharType="end"/>
      </w:r>
      <w:r w:rsidRPr="002F73D4">
        <w:rPr>
          <w:lang w:eastAsia="ko-KR"/>
        </w:rPr>
        <w:t xml:space="preserve"> </w:t>
      </w:r>
      <w:r w:rsidR="0009639F">
        <w:rPr>
          <w:rFonts w:hint="eastAsia"/>
          <w:lang w:eastAsia="ko-KR"/>
        </w:rPr>
        <w:t>Co</w:t>
      </w:r>
      <w:r w:rsidR="003413E8">
        <w:rPr>
          <w:rFonts w:hint="eastAsia"/>
          <w:lang w:eastAsia="ko-KR"/>
        </w:rPr>
        <w:t>mponents for</w:t>
      </w:r>
      <w:r w:rsidR="0009639F">
        <w:rPr>
          <w:rFonts w:hint="eastAsia"/>
          <w:lang w:eastAsia="ko-KR"/>
        </w:rPr>
        <w:t xml:space="preserve"> Carrier Recovery Algorithm</w:t>
      </w:r>
    </w:p>
    <w:p w14:paraId="18E5C636" w14:textId="77777777" w:rsidR="006028CC" w:rsidRPr="00CF0ED2" w:rsidRDefault="006028CC" w:rsidP="004B767A">
      <w:pPr>
        <w:pStyle w:val="BodyText"/>
        <w:rPr>
          <w:lang w:eastAsia="ko-KR"/>
        </w:rPr>
      </w:pPr>
    </w:p>
    <w:p w14:paraId="41F1D3B1" w14:textId="77777777" w:rsidR="00A3778D" w:rsidRDefault="00A3778D" w:rsidP="00A3778D">
      <w:pPr>
        <w:pStyle w:val="BodyText"/>
        <w:rPr>
          <w:lang w:eastAsia="ko-KR"/>
        </w:rPr>
      </w:pPr>
      <w:r>
        <w:rPr>
          <w:lang w:eastAsia="ko-KR"/>
        </w:rPr>
        <w:t>Sections 3.2 and 3.3 include the analysis for the required SNR for each Link ID to satisfy PER 20% (ASM) and PER 1% (VDE-TER) when a frequency error exists. The transmitter/receiver function block for the simulation test was implemented according to the ITU-R M.2092-1 recommendation.</w:t>
      </w:r>
    </w:p>
    <w:p w14:paraId="7553117A" w14:textId="77777777" w:rsidR="002527E1" w:rsidRDefault="00A3778D" w:rsidP="00A3778D">
      <w:pPr>
        <w:pStyle w:val="BodyText"/>
        <w:rPr>
          <w:lang w:eastAsia="ko-KR"/>
        </w:rPr>
      </w:pPr>
      <w:r>
        <w:rPr>
          <w:lang w:eastAsia="ko-KR"/>
        </w:rPr>
        <w:lastRenderedPageBreak/>
        <w:t>For the test environment, frequency offsets of 250Hz and 500Hz were applied in the AWGN channel, and the frequency recovery algorithm shown in Figure 1 was applied.</w:t>
      </w:r>
    </w:p>
    <w:p w14:paraId="0ED26FE8" w14:textId="77777777" w:rsidR="00A3778D" w:rsidRPr="00A3778D" w:rsidRDefault="00A3778D" w:rsidP="004B767A">
      <w:pPr>
        <w:pStyle w:val="BodyText"/>
        <w:rPr>
          <w:lang w:eastAsia="ko-KR"/>
        </w:rPr>
      </w:pPr>
    </w:p>
    <w:p w14:paraId="3A1BD10D" w14:textId="77777777" w:rsidR="002527E1" w:rsidRPr="00605E43" w:rsidRDefault="002527E1" w:rsidP="002527E1">
      <w:pPr>
        <w:pStyle w:val="Heading2"/>
      </w:pPr>
      <w:r>
        <w:rPr>
          <w:lang w:eastAsia="ko-KR"/>
        </w:rPr>
        <w:t>ASM P</w:t>
      </w:r>
      <w:r>
        <w:rPr>
          <w:rFonts w:hint="eastAsia"/>
          <w:lang w:eastAsia="ko-KR"/>
        </w:rPr>
        <w:t xml:space="preserve">ER Performance on Carrier Recovery Algorithm with </w:t>
      </w:r>
      <w:r w:rsidRPr="006F3A92">
        <w:rPr>
          <w:lang w:eastAsia="ko-KR"/>
        </w:rPr>
        <w:t>ITU-R M.2092-1</w:t>
      </w:r>
    </w:p>
    <w:p w14:paraId="582FBB49" w14:textId="77777777" w:rsidR="00C83885" w:rsidRDefault="00C83885" w:rsidP="00020808">
      <w:pPr>
        <w:pStyle w:val="BodyText"/>
        <w:rPr>
          <w:lang w:eastAsia="ko-KR"/>
        </w:rPr>
      </w:pPr>
      <w:r w:rsidRPr="00C83885">
        <w:rPr>
          <w:lang w:eastAsia="ko-KR"/>
        </w:rPr>
        <w:t>Figure 2 and Table 4 show the PER performance results for ASM Link ID 1 when frequency offsets of 250 Hz and 500 Hz are given, respectively, under normal conditions.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791"/>
      </w:tblGrid>
      <w:tr w:rsidR="006F3A92" w14:paraId="3EE36209" w14:textId="77777777" w:rsidTr="009409F2">
        <w:tc>
          <w:tcPr>
            <w:tcW w:w="4837" w:type="dxa"/>
            <w:vAlign w:val="bottom"/>
          </w:tcPr>
          <w:p w14:paraId="3A30B803" w14:textId="77777777" w:rsidR="009409F2" w:rsidRDefault="00CF0ED2" w:rsidP="009409F2">
            <w:pPr>
              <w:pStyle w:val="BodyText"/>
              <w:jc w:val="center"/>
              <w:rPr>
                <w:lang w:eastAsia="ko-KR"/>
              </w:rPr>
            </w:pPr>
            <w:r w:rsidRPr="00CF0ED2">
              <w:rPr>
                <w:noProof/>
                <w:lang w:val="en-US" w:eastAsia="ko-KR"/>
              </w:rPr>
              <w:drawing>
                <wp:inline distT="0" distB="0" distL="0" distR="0" wp14:anchorId="5F34839F" wp14:editId="7CAA5515">
                  <wp:extent cx="2838450" cy="2228850"/>
                  <wp:effectExtent l="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450" cy="2228850"/>
                          </a:xfrm>
                          <a:prstGeom prst="rect">
                            <a:avLst/>
                          </a:prstGeom>
                          <a:noFill/>
                          <a:ln>
                            <a:noFill/>
                          </a:ln>
                        </pic:spPr>
                      </pic:pic>
                    </a:graphicData>
                  </a:graphic>
                </wp:inline>
              </w:drawing>
            </w:r>
          </w:p>
          <w:p w14:paraId="7A10126B" w14:textId="77777777" w:rsidR="006F3A92" w:rsidRDefault="006F3A92" w:rsidP="00345136">
            <w:pPr>
              <w:pStyle w:val="BodyText"/>
              <w:jc w:val="center"/>
              <w:rPr>
                <w:lang w:eastAsia="ko-KR"/>
              </w:rPr>
            </w:pPr>
            <w:r>
              <w:rPr>
                <w:rFonts w:hint="eastAsia"/>
                <w:lang w:eastAsia="ko-KR"/>
              </w:rPr>
              <w:t>(a)</w:t>
            </w:r>
            <w:r>
              <w:rPr>
                <w:lang w:eastAsia="ko-KR"/>
              </w:rPr>
              <w:t xml:space="preserve"> Carrier Frequency Offset: </w:t>
            </w:r>
            <w:r w:rsidR="00CF0ED2">
              <w:rPr>
                <w:lang w:eastAsia="ko-KR"/>
              </w:rPr>
              <w:t>25</w:t>
            </w:r>
            <w:r w:rsidR="00577104">
              <w:rPr>
                <w:lang w:eastAsia="ko-KR"/>
              </w:rPr>
              <w:t>0Hz</w:t>
            </w:r>
          </w:p>
        </w:tc>
        <w:tc>
          <w:tcPr>
            <w:tcW w:w="4791" w:type="dxa"/>
            <w:vAlign w:val="bottom"/>
          </w:tcPr>
          <w:p w14:paraId="559F9013" w14:textId="77777777" w:rsidR="006F3A92" w:rsidRDefault="00CF0ED2" w:rsidP="009409F2">
            <w:pPr>
              <w:pStyle w:val="BodyText"/>
              <w:jc w:val="center"/>
              <w:rPr>
                <w:lang w:eastAsia="ko-KR"/>
              </w:rPr>
            </w:pPr>
            <w:r w:rsidRPr="00CF0ED2">
              <w:rPr>
                <w:noProof/>
                <w:lang w:val="en-US" w:eastAsia="ko-KR"/>
              </w:rPr>
              <w:drawing>
                <wp:inline distT="0" distB="0" distL="0" distR="0" wp14:anchorId="2D8EFD2B" wp14:editId="61931BE2">
                  <wp:extent cx="2838450" cy="223520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38450" cy="2235200"/>
                          </a:xfrm>
                          <a:prstGeom prst="rect">
                            <a:avLst/>
                          </a:prstGeom>
                          <a:noFill/>
                          <a:ln>
                            <a:noFill/>
                          </a:ln>
                        </pic:spPr>
                      </pic:pic>
                    </a:graphicData>
                  </a:graphic>
                </wp:inline>
              </w:drawing>
            </w:r>
          </w:p>
          <w:p w14:paraId="656716D2" w14:textId="77777777" w:rsidR="006F3A92" w:rsidRDefault="006F3A92" w:rsidP="00CF0ED2">
            <w:pPr>
              <w:pStyle w:val="BodyText"/>
              <w:keepNext/>
              <w:jc w:val="center"/>
              <w:rPr>
                <w:lang w:eastAsia="ko-KR"/>
              </w:rPr>
            </w:pPr>
            <w:r>
              <w:rPr>
                <w:rFonts w:hint="eastAsia"/>
                <w:lang w:eastAsia="ko-KR"/>
              </w:rPr>
              <w:t>(b)</w:t>
            </w:r>
            <w:r w:rsidR="00577104">
              <w:rPr>
                <w:lang w:eastAsia="ko-KR"/>
              </w:rPr>
              <w:t xml:space="preserve"> Carrier Frequency Offset: </w:t>
            </w:r>
            <w:r w:rsidR="00CF0ED2">
              <w:rPr>
                <w:lang w:eastAsia="ko-KR"/>
              </w:rPr>
              <w:t>50</w:t>
            </w:r>
            <w:r w:rsidR="00577104">
              <w:rPr>
                <w:lang w:eastAsia="ko-KR"/>
              </w:rPr>
              <w:t>0Hz</w:t>
            </w:r>
          </w:p>
        </w:tc>
      </w:tr>
    </w:tbl>
    <w:p w14:paraId="3434D4C1" w14:textId="77777777" w:rsidR="00656328" w:rsidRDefault="00577104" w:rsidP="00837414">
      <w:pPr>
        <w:pStyle w:val="Caption"/>
        <w:jc w:val="center"/>
        <w:rPr>
          <w:lang w:eastAsia="ko-KR"/>
        </w:rPr>
      </w:pPr>
      <w:r>
        <w:t xml:space="preserve">Figure </w:t>
      </w:r>
      <w:r w:rsidR="002E362B">
        <w:rPr>
          <w:noProof/>
        </w:rPr>
        <w:fldChar w:fldCharType="begin"/>
      </w:r>
      <w:r w:rsidR="002E362B">
        <w:rPr>
          <w:noProof/>
        </w:rPr>
        <w:instrText xml:space="preserve"> SEQ Figure \* ARABIC </w:instrText>
      </w:r>
      <w:r w:rsidR="002E362B">
        <w:rPr>
          <w:noProof/>
        </w:rPr>
        <w:fldChar w:fldCharType="separate"/>
      </w:r>
      <w:r>
        <w:rPr>
          <w:noProof/>
        </w:rPr>
        <w:t>2</w:t>
      </w:r>
      <w:r w:rsidR="002E362B">
        <w:rPr>
          <w:noProof/>
        </w:rPr>
        <w:fldChar w:fldCharType="end"/>
      </w:r>
      <w:r>
        <w:t xml:space="preserve"> P</w:t>
      </w:r>
      <w:r w:rsidRPr="00577104">
        <w:t>ER Performance with CR</w:t>
      </w:r>
      <w:r>
        <w:t xml:space="preserve"> under Carrier Frequency </w:t>
      </w:r>
      <w:r>
        <w:rPr>
          <w:lang w:eastAsia="ko-KR"/>
        </w:rPr>
        <w:t>Offset (ASM Link ID 1)</w:t>
      </w:r>
    </w:p>
    <w:p w14:paraId="69D2AFA6" w14:textId="77777777" w:rsidR="00CF0ED2" w:rsidRPr="00837414" w:rsidRDefault="00CF0ED2" w:rsidP="004B767A">
      <w:pPr>
        <w:pStyle w:val="BodyText"/>
        <w:rPr>
          <w:lang w:eastAsia="ko-KR"/>
        </w:rPr>
      </w:pPr>
    </w:p>
    <w:p w14:paraId="52A974B4" w14:textId="77777777" w:rsidR="0086390D" w:rsidRDefault="0086390D" w:rsidP="0086390D">
      <w:pPr>
        <w:pStyle w:val="Caption"/>
        <w:keepNext/>
        <w:jc w:val="center"/>
      </w:pPr>
      <w:r>
        <w:t xml:space="preserve">Table </w:t>
      </w:r>
      <w:r w:rsidR="002E362B">
        <w:rPr>
          <w:noProof/>
        </w:rPr>
        <w:fldChar w:fldCharType="begin"/>
      </w:r>
      <w:r w:rsidR="002E362B">
        <w:rPr>
          <w:noProof/>
        </w:rPr>
        <w:instrText xml:space="preserve"> SEQ Table \* ARABIC </w:instrText>
      </w:r>
      <w:r w:rsidR="002E362B">
        <w:rPr>
          <w:noProof/>
        </w:rPr>
        <w:fldChar w:fldCharType="separate"/>
      </w:r>
      <w:r>
        <w:rPr>
          <w:noProof/>
        </w:rPr>
        <w:t>4</w:t>
      </w:r>
      <w:r w:rsidR="002E362B">
        <w:rPr>
          <w:noProof/>
        </w:rPr>
        <w:fldChar w:fldCharType="end"/>
      </w:r>
      <w:r>
        <w:t xml:space="preserve"> P</w:t>
      </w:r>
      <w:r>
        <w:rPr>
          <w:rFonts w:hint="eastAsia"/>
          <w:lang w:eastAsia="ko-KR"/>
        </w:rPr>
        <w:t>ER Performance with C</w:t>
      </w:r>
      <w:r>
        <w:rPr>
          <w:lang w:eastAsia="ko-KR"/>
        </w:rPr>
        <w:t xml:space="preserve">arrier </w:t>
      </w:r>
      <w:r>
        <w:rPr>
          <w:rFonts w:hint="eastAsia"/>
          <w:lang w:eastAsia="ko-KR"/>
        </w:rPr>
        <w:t>R</w:t>
      </w:r>
      <w:r>
        <w:rPr>
          <w:lang w:eastAsia="ko-KR"/>
        </w:rPr>
        <w:t>ecovery</w:t>
      </w:r>
      <w:r w:rsidR="00367D3C">
        <w:rPr>
          <w:lang w:eastAsia="ko-KR"/>
        </w:rPr>
        <w:t xml:space="preserve"> (ASM Link ID 1)</w:t>
      </w:r>
    </w:p>
    <w:tbl>
      <w:tblPr>
        <w:tblW w:w="8251" w:type="dxa"/>
        <w:jc w:val="center"/>
        <w:tblCellMar>
          <w:left w:w="0" w:type="dxa"/>
          <w:right w:w="0" w:type="dxa"/>
        </w:tblCellMar>
        <w:tblLook w:val="04A0" w:firstRow="1" w:lastRow="0" w:firstColumn="1" w:lastColumn="0" w:noHBand="0" w:noVBand="1"/>
      </w:tblPr>
      <w:tblGrid>
        <w:gridCol w:w="2665"/>
        <w:gridCol w:w="1916"/>
        <w:gridCol w:w="1892"/>
        <w:gridCol w:w="1778"/>
      </w:tblGrid>
      <w:tr w:rsidR="008E2409" w:rsidRPr="00E42FFF" w14:paraId="307693D7" w14:textId="77777777" w:rsidTr="00ED4E8F">
        <w:trPr>
          <w:trHeight w:val="20"/>
          <w:jc w:val="center"/>
        </w:trPr>
        <w:tc>
          <w:tcPr>
            <w:tcW w:w="2665" w:type="dxa"/>
            <w:vMerge w:val="restart"/>
            <w:tcBorders>
              <w:top w:val="single" w:sz="8" w:space="0" w:color="BFBFBF"/>
              <w:left w:val="single" w:sz="8" w:space="0" w:color="BFBFBF"/>
              <w:right w:val="single" w:sz="8" w:space="0" w:color="BFBFBF"/>
            </w:tcBorders>
            <w:shd w:val="clear" w:color="auto" w:fill="F2F2F2"/>
            <w:vAlign w:val="center"/>
          </w:tcPr>
          <w:p w14:paraId="49EF11D4" w14:textId="77777777" w:rsidR="008E2409" w:rsidRPr="00A86189" w:rsidRDefault="008E2409" w:rsidP="00A86189">
            <w:pPr>
              <w:pStyle w:val="TableParagraph"/>
              <w:spacing w:before="0"/>
              <w:ind w:left="57"/>
              <w:jc w:val="center"/>
              <w:rPr>
                <w:sz w:val="20"/>
                <w:szCs w:val="20"/>
              </w:rPr>
            </w:pPr>
            <w:r w:rsidRPr="00A86189">
              <w:rPr>
                <w:sz w:val="20"/>
                <w:szCs w:val="20"/>
              </w:rPr>
              <w:t>Link ID 1</w:t>
            </w:r>
          </w:p>
          <w:p w14:paraId="738BD631" w14:textId="77777777" w:rsidR="008E2409" w:rsidRPr="00A86189" w:rsidRDefault="008E2409" w:rsidP="00387D06">
            <w:pPr>
              <w:pStyle w:val="TableParagraph"/>
              <w:spacing w:before="0"/>
              <w:ind w:left="57"/>
              <w:jc w:val="center"/>
              <w:rPr>
                <w:sz w:val="20"/>
                <w:szCs w:val="20"/>
              </w:rPr>
            </w:pPr>
            <w:r w:rsidRPr="00A86189">
              <w:rPr>
                <w:rFonts w:hint="eastAsia"/>
                <w:sz w:val="20"/>
                <w:szCs w:val="20"/>
              </w:rPr>
              <w:t>(</w:t>
            </w:r>
            <w:r w:rsidR="00387D06">
              <w:rPr>
                <w:sz w:val="20"/>
                <w:szCs w:val="20"/>
              </w:rPr>
              <w:t xml:space="preserve">uncoded, </w:t>
            </w:r>
            <w:r w:rsidR="00387D06" w:rsidRPr="00A86189">
              <w:rPr>
                <w:rFonts w:hint="eastAsia"/>
                <w:sz w:val="20"/>
                <w:szCs w:val="20"/>
              </w:rPr>
              <w:t>π/4-QPSK</w:t>
            </w:r>
            <w:r w:rsidRPr="00A86189">
              <w:rPr>
                <w:rFonts w:hint="eastAsia"/>
                <w:sz w:val="20"/>
                <w:szCs w:val="20"/>
              </w:rPr>
              <w:t>)</w:t>
            </w:r>
          </w:p>
        </w:tc>
        <w:tc>
          <w:tcPr>
            <w:tcW w:w="1916" w:type="dxa"/>
            <w:vMerge w:val="restart"/>
            <w:tcBorders>
              <w:top w:val="single" w:sz="8" w:space="0" w:color="BFBFBF"/>
              <w:left w:val="single" w:sz="8" w:space="0" w:color="BFBFBF"/>
              <w:right w:val="single" w:sz="8" w:space="0" w:color="BFBFBF"/>
            </w:tcBorders>
            <w:shd w:val="clear" w:color="auto" w:fill="F2F2F2"/>
            <w:tcMar>
              <w:top w:w="45" w:type="dxa"/>
              <w:left w:w="144" w:type="dxa"/>
              <w:bottom w:w="45" w:type="dxa"/>
              <w:right w:w="144" w:type="dxa"/>
            </w:tcMar>
            <w:vAlign w:val="center"/>
          </w:tcPr>
          <w:p w14:paraId="56A51062"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with Coherent</w:t>
            </w:r>
          </w:p>
          <w:p w14:paraId="15725FBD"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Ideal sync.</w:t>
            </w:r>
          </w:p>
        </w:tc>
        <w:tc>
          <w:tcPr>
            <w:tcW w:w="3670" w:type="dxa"/>
            <w:gridSpan w:val="2"/>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5FCF8ADC" w14:textId="77777777" w:rsidR="008E2409" w:rsidRPr="00A86189" w:rsidRDefault="008E2409" w:rsidP="00A86189">
            <w:pPr>
              <w:pStyle w:val="TableParagraph"/>
              <w:spacing w:before="0"/>
              <w:ind w:left="57"/>
              <w:jc w:val="center"/>
              <w:rPr>
                <w:sz w:val="20"/>
                <w:szCs w:val="20"/>
              </w:rPr>
            </w:pPr>
            <w:r w:rsidRPr="00A86189">
              <w:rPr>
                <w:sz w:val="20"/>
                <w:szCs w:val="20"/>
              </w:rPr>
              <w:t>Carrier Frequency Offset</w:t>
            </w:r>
          </w:p>
          <w:p w14:paraId="380EF26A"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 xml:space="preserve">with </w:t>
            </w:r>
            <w:r w:rsidRPr="00A86189">
              <w:rPr>
                <w:sz w:val="20"/>
                <w:szCs w:val="20"/>
              </w:rPr>
              <w:t xml:space="preserve"> </w:t>
            </w:r>
            <w:r w:rsidRPr="00A86189">
              <w:rPr>
                <w:rFonts w:hint="eastAsia"/>
                <w:sz w:val="20"/>
                <w:szCs w:val="20"/>
              </w:rPr>
              <w:t>General C</w:t>
            </w:r>
            <w:r w:rsidRPr="00A86189">
              <w:rPr>
                <w:sz w:val="20"/>
                <w:szCs w:val="20"/>
              </w:rPr>
              <w:t>R</w:t>
            </w:r>
          </w:p>
        </w:tc>
      </w:tr>
      <w:tr w:rsidR="008E2409" w:rsidRPr="00E42FFF" w14:paraId="2C33A361" w14:textId="77777777" w:rsidTr="00ED4E8F">
        <w:trPr>
          <w:trHeight w:val="20"/>
          <w:jc w:val="center"/>
        </w:trPr>
        <w:tc>
          <w:tcPr>
            <w:tcW w:w="2665" w:type="dxa"/>
            <w:vMerge/>
            <w:tcBorders>
              <w:left w:val="single" w:sz="8" w:space="0" w:color="BFBFBF"/>
              <w:bottom w:val="single" w:sz="8" w:space="0" w:color="BFBFBF"/>
              <w:right w:val="single" w:sz="8" w:space="0" w:color="BFBFBF"/>
            </w:tcBorders>
            <w:shd w:val="clear" w:color="auto" w:fill="F2F2F2"/>
            <w:vAlign w:val="center"/>
          </w:tcPr>
          <w:p w14:paraId="501275F2" w14:textId="77777777" w:rsidR="008E2409" w:rsidRPr="00A86189" w:rsidRDefault="008E2409" w:rsidP="00A86189">
            <w:pPr>
              <w:pStyle w:val="TableParagraph"/>
              <w:spacing w:before="0"/>
              <w:ind w:left="57"/>
              <w:jc w:val="center"/>
              <w:rPr>
                <w:sz w:val="20"/>
                <w:szCs w:val="20"/>
              </w:rPr>
            </w:pPr>
          </w:p>
        </w:tc>
        <w:tc>
          <w:tcPr>
            <w:tcW w:w="1916" w:type="dxa"/>
            <w:vMerge/>
            <w:tcBorders>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tcPr>
          <w:p w14:paraId="6F43B2C2" w14:textId="77777777" w:rsidR="008E2409" w:rsidRPr="00A86189" w:rsidRDefault="008E2409" w:rsidP="00A86189">
            <w:pPr>
              <w:pStyle w:val="TableParagraph"/>
              <w:spacing w:before="0"/>
              <w:ind w:left="57"/>
              <w:jc w:val="center"/>
              <w:rPr>
                <w:sz w:val="20"/>
                <w:szCs w:val="20"/>
              </w:rPr>
            </w:pPr>
          </w:p>
        </w:tc>
        <w:tc>
          <w:tcPr>
            <w:tcW w:w="1892"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132DA142" w14:textId="77777777" w:rsidR="008E2409" w:rsidRPr="00A86189" w:rsidRDefault="00CF0ED2" w:rsidP="00A86189">
            <w:pPr>
              <w:pStyle w:val="TableParagraph"/>
              <w:spacing w:before="0"/>
              <w:ind w:left="57"/>
              <w:jc w:val="center"/>
              <w:rPr>
                <w:sz w:val="20"/>
                <w:szCs w:val="20"/>
              </w:rPr>
            </w:pPr>
            <w:r>
              <w:rPr>
                <w:sz w:val="20"/>
                <w:szCs w:val="20"/>
              </w:rPr>
              <w:t>25</w:t>
            </w:r>
            <w:r w:rsidR="008E2409" w:rsidRPr="00A86189">
              <w:rPr>
                <w:sz w:val="20"/>
                <w:szCs w:val="20"/>
              </w:rPr>
              <w:t>0Hz</w:t>
            </w:r>
          </w:p>
        </w:tc>
        <w:tc>
          <w:tcPr>
            <w:tcW w:w="1778"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5890204A" w14:textId="77777777" w:rsidR="008E2409" w:rsidRPr="00A86189" w:rsidRDefault="008E2409" w:rsidP="00A86189">
            <w:pPr>
              <w:pStyle w:val="TableParagraph"/>
              <w:spacing w:before="0"/>
              <w:ind w:left="57"/>
              <w:jc w:val="center"/>
              <w:rPr>
                <w:sz w:val="20"/>
                <w:szCs w:val="20"/>
              </w:rPr>
            </w:pPr>
            <w:r w:rsidRPr="00A86189">
              <w:rPr>
                <w:sz w:val="20"/>
                <w:szCs w:val="20"/>
              </w:rPr>
              <w:t>5</w:t>
            </w:r>
            <w:r w:rsidR="00CF0ED2">
              <w:rPr>
                <w:sz w:val="20"/>
                <w:szCs w:val="20"/>
              </w:rPr>
              <w:t>0</w:t>
            </w:r>
            <w:r w:rsidRPr="00A86189">
              <w:rPr>
                <w:sz w:val="20"/>
                <w:szCs w:val="20"/>
              </w:rPr>
              <w:t>0Hz</w:t>
            </w:r>
          </w:p>
        </w:tc>
      </w:tr>
      <w:tr w:rsidR="008E2409" w:rsidRPr="00E42FFF" w14:paraId="2404CAAA" w14:textId="77777777" w:rsidTr="00ED4E8F">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540F9AAD"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Required SNR[dB]</w:t>
            </w:r>
          </w:p>
          <w:p w14:paraId="75ADC1E6"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 xml:space="preserve">@ </w:t>
            </w:r>
            <w:r w:rsidRPr="00A86189">
              <w:rPr>
                <w:sz w:val="20"/>
                <w:szCs w:val="20"/>
              </w:rPr>
              <w:t>PER 20%</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25F499B4" w14:textId="77777777" w:rsidR="008E2409" w:rsidRPr="00A86189" w:rsidRDefault="008E2409" w:rsidP="00A86189">
            <w:pPr>
              <w:pStyle w:val="TableParagraph"/>
              <w:spacing w:before="0"/>
              <w:ind w:left="57"/>
              <w:jc w:val="center"/>
              <w:rPr>
                <w:sz w:val="20"/>
                <w:szCs w:val="20"/>
              </w:rPr>
            </w:pPr>
            <w:r w:rsidRPr="00A86189">
              <w:rPr>
                <w:sz w:val="20"/>
                <w:szCs w:val="20"/>
              </w:rPr>
              <w:t>10.3</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33B95FB0" w14:textId="77777777" w:rsidR="008E2409" w:rsidRPr="00A86189" w:rsidRDefault="008E2409" w:rsidP="00A86189">
            <w:pPr>
              <w:pStyle w:val="TableParagraph"/>
              <w:spacing w:before="0"/>
              <w:ind w:left="57"/>
              <w:jc w:val="center"/>
              <w:rPr>
                <w:sz w:val="20"/>
                <w:szCs w:val="20"/>
              </w:rPr>
            </w:pPr>
            <w:r w:rsidRPr="00A86189">
              <w:rPr>
                <w:sz w:val="20"/>
                <w:szCs w:val="20"/>
              </w:rPr>
              <w:t>10.3</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6998BFD9" w14:textId="77777777" w:rsidR="008E2409" w:rsidRPr="00A86189" w:rsidRDefault="008E2409" w:rsidP="00CF0ED2">
            <w:pPr>
              <w:pStyle w:val="TableParagraph"/>
              <w:spacing w:before="0"/>
              <w:ind w:left="57"/>
              <w:jc w:val="center"/>
              <w:rPr>
                <w:sz w:val="20"/>
                <w:szCs w:val="20"/>
              </w:rPr>
            </w:pPr>
            <w:r w:rsidRPr="00A86189">
              <w:rPr>
                <w:rFonts w:hint="eastAsia"/>
                <w:sz w:val="20"/>
                <w:szCs w:val="20"/>
              </w:rPr>
              <w:t>10.</w:t>
            </w:r>
            <w:r w:rsidR="00CF0ED2">
              <w:rPr>
                <w:sz w:val="20"/>
                <w:szCs w:val="20"/>
              </w:rPr>
              <w:t>5</w:t>
            </w:r>
          </w:p>
        </w:tc>
      </w:tr>
      <w:tr w:rsidR="008E2409" w:rsidRPr="00E42FFF" w14:paraId="45B79D54" w14:textId="77777777" w:rsidTr="00ED4E8F">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66DFA5A3" w14:textId="77777777" w:rsidR="008E2409" w:rsidRPr="00A86189" w:rsidRDefault="008E2409" w:rsidP="00A86189">
            <w:pPr>
              <w:pStyle w:val="TableParagraph"/>
              <w:spacing w:before="0"/>
              <w:ind w:left="57"/>
              <w:jc w:val="center"/>
              <w:rPr>
                <w:sz w:val="20"/>
                <w:szCs w:val="20"/>
              </w:rPr>
            </w:pPr>
            <w:r w:rsidRPr="00A86189">
              <w:rPr>
                <w:sz w:val="20"/>
                <w:szCs w:val="20"/>
              </w:rPr>
              <w:t xml:space="preserve">Performance degradation </w:t>
            </w:r>
            <w:r w:rsidRPr="00A86189">
              <w:rPr>
                <w:rFonts w:hint="eastAsia"/>
                <w:sz w:val="20"/>
                <w:szCs w:val="20"/>
              </w:rPr>
              <w:t>with CR via ideal sync.</w:t>
            </w:r>
          </w:p>
          <w:p w14:paraId="2CE23BCD"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w:t>
            </w:r>
            <w:r w:rsidRPr="00A86189">
              <w:rPr>
                <w:sz w:val="20"/>
                <w:szCs w:val="20"/>
              </w:rPr>
              <w:t xml:space="preserve">Gap </w:t>
            </w:r>
            <w:r w:rsidRPr="00A86189">
              <w:rPr>
                <w:rFonts w:hint="eastAsia"/>
                <w:sz w:val="20"/>
                <w:szCs w:val="20"/>
              </w:rPr>
              <w:t>for</w:t>
            </w:r>
            <w:r w:rsidRPr="00A86189">
              <w:rPr>
                <w:sz w:val="20"/>
                <w:szCs w:val="20"/>
              </w:rPr>
              <w:t xml:space="preserve"> required </w:t>
            </w:r>
            <w:r w:rsidRPr="00A86189">
              <w:rPr>
                <w:rFonts w:hint="eastAsia"/>
                <w:sz w:val="20"/>
                <w:szCs w:val="20"/>
              </w:rPr>
              <w:t>SNR)</w:t>
            </w:r>
          </w:p>
          <w:p w14:paraId="7E1CFC4A"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[dB]</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39079466" w14:textId="77777777" w:rsidR="008E2409" w:rsidRPr="00A86189" w:rsidRDefault="008E2409" w:rsidP="00A86189">
            <w:pPr>
              <w:pStyle w:val="TableParagraph"/>
              <w:spacing w:before="0"/>
              <w:ind w:left="57"/>
              <w:jc w:val="center"/>
              <w:rPr>
                <w:sz w:val="20"/>
                <w:szCs w:val="20"/>
              </w:rPr>
            </w:pPr>
            <w:r w:rsidRPr="00A86189">
              <w:rPr>
                <w:rFonts w:hint="eastAsia"/>
                <w:sz w:val="20"/>
                <w:szCs w:val="20"/>
              </w:rPr>
              <w:t>-</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2D4EE16" w14:textId="77777777" w:rsidR="008E2409" w:rsidRPr="00A86189" w:rsidRDefault="008E2409" w:rsidP="00A86189">
            <w:pPr>
              <w:pStyle w:val="TableParagraph"/>
              <w:spacing w:before="0"/>
              <w:ind w:left="57"/>
              <w:jc w:val="center"/>
              <w:rPr>
                <w:sz w:val="20"/>
                <w:szCs w:val="20"/>
              </w:rPr>
            </w:pPr>
            <w:r w:rsidRPr="00A86189">
              <w:rPr>
                <w:sz w:val="20"/>
                <w:szCs w:val="20"/>
              </w:rPr>
              <w:t>Almost none</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6DBEA472" w14:textId="77777777" w:rsidR="008E2409" w:rsidRPr="00A86189" w:rsidRDefault="00CF0ED2" w:rsidP="00A86189">
            <w:pPr>
              <w:pStyle w:val="TableParagraph"/>
              <w:spacing w:before="0"/>
              <w:ind w:left="57"/>
              <w:jc w:val="center"/>
              <w:rPr>
                <w:sz w:val="20"/>
                <w:szCs w:val="20"/>
                <w:lang w:eastAsia="ko-KR"/>
              </w:rPr>
            </w:pPr>
            <w:r>
              <w:rPr>
                <w:rFonts w:asciiTheme="minorEastAsia" w:eastAsiaTheme="minorEastAsia" w:hAnsiTheme="minorEastAsia"/>
                <w:sz w:val="20"/>
                <w:szCs w:val="20"/>
                <w:lang w:eastAsia="ko-KR"/>
              </w:rPr>
              <w:t>c</w:t>
            </w:r>
            <w:r>
              <w:rPr>
                <w:rFonts w:asciiTheme="minorEastAsia" w:eastAsiaTheme="minorEastAsia" w:hAnsiTheme="minorEastAsia" w:hint="eastAsia"/>
                <w:sz w:val="20"/>
                <w:szCs w:val="20"/>
                <w:lang w:eastAsia="ko-KR"/>
              </w:rPr>
              <w:t>a.</w:t>
            </w:r>
            <w:r>
              <w:rPr>
                <w:rFonts w:asciiTheme="minorEastAsia" w:eastAsiaTheme="minorEastAsia" w:hAnsiTheme="minorEastAsia"/>
                <w:sz w:val="20"/>
                <w:szCs w:val="20"/>
                <w:lang w:eastAsia="ko-KR"/>
              </w:rPr>
              <w:t xml:space="preserve"> 0.2dB</w:t>
            </w:r>
          </w:p>
        </w:tc>
      </w:tr>
    </w:tbl>
    <w:p w14:paraId="301B795B" w14:textId="77777777" w:rsidR="00656328" w:rsidRDefault="00656328" w:rsidP="004B767A">
      <w:pPr>
        <w:pStyle w:val="BodyText"/>
        <w:rPr>
          <w:lang w:eastAsia="ko-KR"/>
        </w:rPr>
      </w:pPr>
    </w:p>
    <w:p w14:paraId="290B69BB" w14:textId="77777777" w:rsidR="00C83885" w:rsidRPr="00837414" w:rsidRDefault="00C83885" w:rsidP="002E362B">
      <w:pPr>
        <w:pStyle w:val="BodyText"/>
        <w:rPr>
          <w:lang w:eastAsia="ko-KR"/>
        </w:rPr>
      </w:pPr>
      <w:r w:rsidRPr="00C83885">
        <w:rPr>
          <w:lang w:eastAsia="ko-KR"/>
        </w:rPr>
        <w:t xml:space="preserve">Figure </w:t>
      </w:r>
      <w:r>
        <w:rPr>
          <w:lang w:eastAsia="ko-KR"/>
        </w:rPr>
        <w:t>3</w:t>
      </w:r>
      <w:r w:rsidRPr="00C83885">
        <w:rPr>
          <w:lang w:eastAsia="ko-KR"/>
        </w:rPr>
        <w:t xml:space="preserve"> and Table </w:t>
      </w:r>
      <w:r>
        <w:rPr>
          <w:lang w:eastAsia="ko-KR"/>
        </w:rPr>
        <w:t>5</w:t>
      </w:r>
      <w:r w:rsidRPr="00C83885">
        <w:rPr>
          <w:lang w:eastAsia="ko-KR"/>
        </w:rPr>
        <w:t xml:space="preserve"> show the PER performance results for ASM Link ID </w:t>
      </w:r>
      <w:r>
        <w:rPr>
          <w:lang w:eastAsia="ko-KR"/>
        </w:rPr>
        <w:t>5</w:t>
      </w:r>
      <w:r w:rsidRPr="00C83885">
        <w:rPr>
          <w:lang w:eastAsia="ko-KR"/>
        </w:rPr>
        <w:t xml:space="preserve"> when frequency offsets of 250 Hz and 500 Hz are given, respectively, under normal conditions.</w:t>
      </w:r>
    </w:p>
    <w:p w14:paraId="35E40453" w14:textId="77777777" w:rsidR="002E362B" w:rsidRDefault="002E362B" w:rsidP="002E362B">
      <w:pPr>
        <w:pStyle w:val="BodyText"/>
        <w:rPr>
          <w:lang w:eastAsia="ko-K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791"/>
      </w:tblGrid>
      <w:tr w:rsidR="002E362B" w14:paraId="072436E0" w14:textId="77777777" w:rsidTr="004855DA">
        <w:tc>
          <w:tcPr>
            <w:tcW w:w="4837" w:type="dxa"/>
            <w:vAlign w:val="bottom"/>
          </w:tcPr>
          <w:p w14:paraId="0786B262" w14:textId="77777777" w:rsidR="002E362B" w:rsidRDefault="00CF0ED2" w:rsidP="00776765">
            <w:pPr>
              <w:pStyle w:val="BodyText"/>
              <w:jc w:val="center"/>
              <w:rPr>
                <w:lang w:eastAsia="ko-KR"/>
              </w:rPr>
            </w:pPr>
            <w:r w:rsidRPr="00CF0ED2">
              <w:rPr>
                <w:noProof/>
                <w:lang w:val="en-US" w:eastAsia="ko-KR"/>
              </w:rPr>
              <w:drawing>
                <wp:inline distT="0" distB="0" distL="0" distR="0" wp14:anchorId="63A18EF5" wp14:editId="47F62F62">
                  <wp:extent cx="2851150" cy="2203450"/>
                  <wp:effectExtent l="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1150" cy="2203450"/>
                          </a:xfrm>
                          <a:prstGeom prst="rect">
                            <a:avLst/>
                          </a:prstGeom>
                          <a:noFill/>
                          <a:ln>
                            <a:noFill/>
                          </a:ln>
                        </pic:spPr>
                      </pic:pic>
                    </a:graphicData>
                  </a:graphic>
                </wp:inline>
              </w:drawing>
            </w:r>
          </w:p>
          <w:p w14:paraId="5575FEFD" w14:textId="77777777" w:rsidR="002E362B" w:rsidRDefault="002E362B" w:rsidP="00776765">
            <w:pPr>
              <w:pStyle w:val="BodyText"/>
              <w:jc w:val="center"/>
              <w:rPr>
                <w:lang w:eastAsia="ko-KR"/>
              </w:rPr>
            </w:pPr>
            <w:r>
              <w:rPr>
                <w:rFonts w:hint="eastAsia"/>
                <w:lang w:eastAsia="ko-KR"/>
              </w:rPr>
              <w:lastRenderedPageBreak/>
              <w:t>(a)</w:t>
            </w:r>
            <w:r w:rsidR="00CF0ED2">
              <w:rPr>
                <w:lang w:eastAsia="ko-KR"/>
              </w:rPr>
              <w:t xml:space="preserve"> Carrier Frequency Offset: 25</w:t>
            </w:r>
            <w:r w:rsidR="00345136">
              <w:rPr>
                <w:lang w:eastAsia="ko-KR"/>
              </w:rPr>
              <w:t>0</w:t>
            </w:r>
            <w:r>
              <w:rPr>
                <w:lang w:eastAsia="ko-KR"/>
              </w:rPr>
              <w:t>Hz</w:t>
            </w:r>
          </w:p>
        </w:tc>
        <w:tc>
          <w:tcPr>
            <w:tcW w:w="4791" w:type="dxa"/>
            <w:vAlign w:val="bottom"/>
          </w:tcPr>
          <w:p w14:paraId="2AC42241" w14:textId="77777777" w:rsidR="004855DA" w:rsidRDefault="00CF0ED2" w:rsidP="00776765">
            <w:pPr>
              <w:pStyle w:val="BodyText"/>
              <w:jc w:val="center"/>
              <w:rPr>
                <w:lang w:eastAsia="ko-KR"/>
              </w:rPr>
            </w:pPr>
            <w:r w:rsidRPr="00CF0ED2">
              <w:rPr>
                <w:noProof/>
                <w:lang w:val="en-US" w:eastAsia="ko-KR"/>
              </w:rPr>
              <w:lastRenderedPageBreak/>
              <w:drawing>
                <wp:inline distT="0" distB="0" distL="0" distR="0" wp14:anchorId="4A84AF66" wp14:editId="5F49AC00">
                  <wp:extent cx="2857500" cy="2209800"/>
                  <wp:effectExtent l="0" t="0" r="0" b="0"/>
                  <wp:docPr id="13" name="그림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0" cy="2209800"/>
                          </a:xfrm>
                          <a:prstGeom prst="rect">
                            <a:avLst/>
                          </a:prstGeom>
                          <a:noFill/>
                          <a:ln>
                            <a:noFill/>
                          </a:ln>
                        </pic:spPr>
                      </pic:pic>
                    </a:graphicData>
                  </a:graphic>
                </wp:inline>
              </w:drawing>
            </w:r>
          </w:p>
          <w:p w14:paraId="4162D222" w14:textId="77777777" w:rsidR="002E362B" w:rsidRDefault="002E362B" w:rsidP="00CF0ED2">
            <w:pPr>
              <w:pStyle w:val="BodyText"/>
              <w:jc w:val="center"/>
              <w:rPr>
                <w:lang w:eastAsia="ko-KR"/>
              </w:rPr>
            </w:pPr>
            <w:r>
              <w:rPr>
                <w:rFonts w:hint="eastAsia"/>
                <w:lang w:eastAsia="ko-KR"/>
              </w:rPr>
              <w:lastRenderedPageBreak/>
              <w:t>(b)</w:t>
            </w:r>
            <w:r>
              <w:rPr>
                <w:lang w:eastAsia="ko-KR"/>
              </w:rPr>
              <w:t xml:space="preserve"> Carrier Frequency Offset: </w:t>
            </w:r>
            <w:r w:rsidR="00CF0ED2">
              <w:rPr>
                <w:lang w:eastAsia="ko-KR"/>
              </w:rPr>
              <w:t>50</w:t>
            </w:r>
            <w:r>
              <w:rPr>
                <w:lang w:eastAsia="ko-KR"/>
              </w:rPr>
              <w:t>0Hz</w:t>
            </w:r>
          </w:p>
        </w:tc>
      </w:tr>
    </w:tbl>
    <w:p w14:paraId="1359DEA8" w14:textId="77777777" w:rsidR="002E362B" w:rsidRPr="00577104" w:rsidRDefault="002E362B" w:rsidP="002E362B">
      <w:pPr>
        <w:pStyle w:val="Caption"/>
        <w:jc w:val="center"/>
        <w:rPr>
          <w:lang w:eastAsia="ko-KR"/>
        </w:rPr>
      </w:pPr>
      <w:r>
        <w:lastRenderedPageBreak/>
        <w:t xml:space="preserve">Figure </w:t>
      </w:r>
      <w:r>
        <w:rPr>
          <w:noProof/>
        </w:rPr>
        <w:fldChar w:fldCharType="begin"/>
      </w:r>
      <w:r>
        <w:rPr>
          <w:noProof/>
        </w:rPr>
        <w:instrText xml:space="preserve"> SEQ Figure \* ARABIC </w:instrText>
      </w:r>
      <w:r>
        <w:rPr>
          <w:noProof/>
        </w:rPr>
        <w:fldChar w:fldCharType="separate"/>
      </w:r>
      <w:r w:rsidR="00367D3C">
        <w:rPr>
          <w:noProof/>
        </w:rPr>
        <w:t>3</w:t>
      </w:r>
      <w:r>
        <w:rPr>
          <w:noProof/>
        </w:rPr>
        <w:fldChar w:fldCharType="end"/>
      </w:r>
      <w:r>
        <w:t xml:space="preserve"> P</w:t>
      </w:r>
      <w:r w:rsidRPr="00577104">
        <w:t>ER Performance with CR</w:t>
      </w:r>
      <w:r>
        <w:t xml:space="preserve"> under Carrier Frequency </w:t>
      </w:r>
      <w:r w:rsidR="00367D3C">
        <w:rPr>
          <w:lang w:eastAsia="ko-KR"/>
        </w:rPr>
        <w:t>Offset (ASM Link ID 5</w:t>
      </w:r>
      <w:r>
        <w:rPr>
          <w:lang w:eastAsia="ko-KR"/>
        </w:rPr>
        <w:t>)</w:t>
      </w:r>
    </w:p>
    <w:p w14:paraId="79BF9E1B" w14:textId="77777777" w:rsidR="002E362B" w:rsidRDefault="002E362B" w:rsidP="002E362B">
      <w:pPr>
        <w:pStyle w:val="BodyText"/>
        <w:rPr>
          <w:lang w:eastAsia="ko-KR"/>
        </w:rPr>
      </w:pPr>
    </w:p>
    <w:p w14:paraId="47217229" w14:textId="77777777" w:rsidR="002E362B" w:rsidRDefault="002E362B" w:rsidP="002E362B">
      <w:pPr>
        <w:pStyle w:val="Caption"/>
        <w:keepNext/>
        <w:jc w:val="center"/>
      </w:pPr>
      <w:r>
        <w:t xml:space="preserve">Table </w:t>
      </w:r>
      <w:r>
        <w:rPr>
          <w:noProof/>
        </w:rPr>
        <w:fldChar w:fldCharType="begin"/>
      </w:r>
      <w:r>
        <w:rPr>
          <w:noProof/>
        </w:rPr>
        <w:instrText xml:space="preserve"> SEQ Table \* ARABIC </w:instrText>
      </w:r>
      <w:r>
        <w:rPr>
          <w:noProof/>
        </w:rPr>
        <w:fldChar w:fldCharType="separate"/>
      </w:r>
      <w:r w:rsidR="00367D3C">
        <w:rPr>
          <w:noProof/>
        </w:rPr>
        <w:t>5</w:t>
      </w:r>
      <w:r>
        <w:rPr>
          <w:noProof/>
        </w:rPr>
        <w:fldChar w:fldCharType="end"/>
      </w:r>
      <w:r>
        <w:t xml:space="preserve"> P</w:t>
      </w:r>
      <w:r>
        <w:rPr>
          <w:rFonts w:hint="eastAsia"/>
          <w:lang w:eastAsia="ko-KR"/>
        </w:rPr>
        <w:t>ER Performance with C</w:t>
      </w:r>
      <w:r>
        <w:rPr>
          <w:lang w:eastAsia="ko-KR"/>
        </w:rPr>
        <w:t xml:space="preserve">arrier </w:t>
      </w:r>
      <w:r>
        <w:rPr>
          <w:rFonts w:hint="eastAsia"/>
          <w:lang w:eastAsia="ko-KR"/>
        </w:rPr>
        <w:t>R</w:t>
      </w:r>
      <w:r>
        <w:rPr>
          <w:lang w:eastAsia="ko-KR"/>
        </w:rPr>
        <w:t>ecovery</w:t>
      </w:r>
      <w:r w:rsidR="00367D3C">
        <w:rPr>
          <w:lang w:eastAsia="ko-KR"/>
        </w:rPr>
        <w:t xml:space="preserve"> (ASM Link ID 5)</w:t>
      </w:r>
    </w:p>
    <w:tbl>
      <w:tblPr>
        <w:tblW w:w="8251" w:type="dxa"/>
        <w:jc w:val="center"/>
        <w:tblCellMar>
          <w:left w:w="0" w:type="dxa"/>
          <w:right w:w="0" w:type="dxa"/>
        </w:tblCellMar>
        <w:tblLook w:val="04A0" w:firstRow="1" w:lastRow="0" w:firstColumn="1" w:lastColumn="0" w:noHBand="0" w:noVBand="1"/>
      </w:tblPr>
      <w:tblGrid>
        <w:gridCol w:w="2665"/>
        <w:gridCol w:w="1916"/>
        <w:gridCol w:w="1892"/>
        <w:gridCol w:w="1778"/>
      </w:tblGrid>
      <w:tr w:rsidR="002E362B" w:rsidRPr="00E42FFF" w14:paraId="6C1E626E" w14:textId="77777777" w:rsidTr="002E362B">
        <w:trPr>
          <w:trHeight w:val="20"/>
          <w:jc w:val="center"/>
        </w:trPr>
        <w:tc>
          <w:tcPr>
            <w:tcW w:w="2665" w:type="dxa"/>
            <w:vMerge w:val="restart"/>
            <w:tcBorders>
              <w:top w:val="single" w:sz="8" w:space="0" w:color="BFBFBF"/>
              <w:left w:val="single" w:sz="8" w:space="0" w:color="BFBFBF"/>
              <w:right w:val="single" w:sz="8" w:space="0" w:color="BFBFBF"/>
            </w:tcBorders>
            <w:shd w:val="clear" w:color="auto" w:fill="F2F2F2"/>
            <w:vAlign w:val="center"/>
          </w:tcPr>
          <w:p w14:paraId="69256E93" w14:textId="77777777" w:rsidR="002E362B" w:rsidRPr="00A86189" w:rsidRDefault="002E362B" w:rsidP="002E362B">
            <w:pPr>
              <w:pStyle w:val="TableParagraph"/>
              <w:spacing w:before="0"/>
              <w:ind w:left="57"/>
              <w:jc w:val="center"/>
              <w:rPr>
                <w:sz w:val="20"/>
                <w:szCs w:val="20"/>
              </w:rPr>
            </w:pPr>
            <w:r w:rsidRPr="00A86189">
              <w:rPr>
                <w:sz w:val="20"/>
                <w:szCs w:val="20"/>
              </w:rPr>
              <w:t xml:space="preserve">Link ID </w:t>
            </w:r>
            <w:r w:rsidR="00387D06">
              <w:rPr>
                <w:sz w:val="20"/>
                <w:szCs w:val="20"/>
              </w:rPr>
              <w:t>5</w:t>
            </w:r>
          </w:p>
          <w:p w14:paraId="5C0FFBE1"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w:t>
            </w:r>
            <w:r w:rsidR="00387D06">
              <w:rPr>
                <w:sz w:val="20"/>
                <w:szCs w:val="20"/>
              </w:rPr>
              <w:t xml:space="preserve">3/4 </w:t>
            </w:r>
            <w:r w:rsidRPr="00A86189">
              <w:rPr>
                <w:rFonts w:hint="eastAsia"/>
                <w:sz w:val="20"/>
                <w:szCs w:val="20"/>
              </w:rPr>
              <w:t>π</w:t>
            </w:r>
            <w:r w:rsidR="00387D06">
              <w:rPr>
                <w:rFonts w:hint="eastAsia"/>
                <w:sz w:val="20"/>
                <w:szCs w:val="20"/>
              </w:rPr>
              <w:t>/4-QPSK</w:t>
            </w:r>
            <w:r w:rsidRPr="00A86189">
              <w:rPr>
                <w:rFonts w:hint="eastAsia"/>
                <w:sz w:val="20"/>
                <w:szCs w:val="20"/>
              </w:rPr>
              <w:t>)</w:t>
            </w:r>
          </w:p>
        </w:tc>
        <w:tc>
          <w:tcPr>
            <w:tcW w:w="1916" w:type="dxa"/>
            <w:vMerge w:val="restart"/>
            <w:tcBorders>
              <w:top w:val="single" w:sz="8" w:space="0" w:color="BFBFBF"/>
              <w:left w:val="single" w:sz="8" w:space="0" w:color="BFBFBF"/>
              <w:right w:val="single" w:sz="8" w:space="0" w:color="BFBFBF"/>
            </w:tcBorders>
            <w:shd w:val="clear" w:color="auto" w:fill="F2F2F2"/>
            <w:tcMar>
              <w:top w:w="45" w:type="dxa"/>
              <w:left w:w="144" w:type="dxa"/>
              <w:bottom w:w="45" w:type="dxa"/>
              <w:right w:w="144" w:type="dxa"/>
            </w:tcMar>
            <w:vAlign w:val="center"/>
          </w:tcPr>
          <w:p w14:paraId="6C3ED7F4"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with Coherent</w:t>
            </w:r>
          </w:p>
          <w:p w14:paraId="41EF9717"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Ideal sync.</w:t>
            </w:r>
          </w:p>
        </w:tc>
        <w:tc>
          <w:tcPr>
            <w:tcW w:w="3670" w:type="dxa"/>
            <w:gridSpan w:val="2"/>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1F84131E" w14:textId="77777777" w:rsidR="002E362B" w:rsidRPr="00A86189" w:rsidRDefault="002E362B" w:rsidP="002E362B">
            <w:pPr>
              <w:pStyle w:val="TableParagraph"/>
              <w:spacing w:before="0"/>
              <w:ind w:left="57"/>
              <w:jc w:val="center"/>
              <w:rPr>
                <w:sz w:val="20"/>
                <w:szCs w:val="20"/>
              </w:rPr>
            </w:pPr>
            <w:r w:rsidRPr="00A86189">
              <w:rPr>
                <w:sz w:val="20"/>
                <w:szCs w:val="20"/>
              </w:rPr>
              <w:t>Carrier Frequency Offset</w:t>
            </w:r>
          </w:p>
          <w:p w14:paraId="28DE1D7F"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 xml:space="preserve">with </w:t>
            </w:r>
            <w:r w:rsidRPr="00A86189">
              <w:rPr>
                <w:sz w:val="20"/>
                <w:szCs w:val="20"/>
              </w:rPr>
              <w:t xml:space="preserve"> </w:t>
            </w:r>
            <w:r w:rsidRPr="00A86189">
              <w:rPr>
                <w:rFonts w:hint="eastAsia"/>
                <w:sz w:val="20"/>
                <w:szCs w:val="20"/>
              </w:rPr>
              <w:t>General C</w:t>
            </w:r>
            <w:r w:rsidRPr="00A86189">
              <w:rPr>
                <w:sz w:val="20"/>
                <w:szCs w:val="20"/>
              </w:rPr>
              <w:t>R</w:t>
            </w:r>
          </w:p>
        </w:tc>
      </w:tr>
      <w:tr w:rsidR="002E362B" w:rsidRPr="00E42FFF" w14:paraId="3E76CB1E" w14:textId="77777777" w:rsidTr="002E362B">
        <w:trPr>
          <w:trHeight w:val="20"/>
          <w:jc w:val="center"/>
        </w:trPr>
        <w:tc>
          <w:tcPr>
            <w:tcW w:w="2665" w:type="dxa"/>
            <w:vMerge/>
            <w:tcBorders>
              <w:left w:val="single" w:sz="8" w:space="0" w:color="BFBFBF"/>
              <w:bottom w:val="single" w:sz="8" w:space="0" w:color="BFBFBF"/>
              <w:right w:val="single" w:sz="8" w:space="0" w:color="BFBFBF"/>
            </w:tcBorders>
            <w:shd w:val="clear" w:color="auto" w:fill="F2F2F2"/>
            <w:vAlign w:val="center"/>
          </w:tcPr>
          <w:p w14:paraId="64B3193C" w14:textId="77777777" w:rsidR="002E362B" w:rsidRPr="00A86189" w:rsidRDefault="002E362B" w:rsidP="002E362B">
            <w:pPr>
              <w:pStyle w:val="TableParagraph"/>
              <w:spacing w:before="0"/>
              <w:ind w:left="57"/>
              <w:jc w:val="center"/>
              <w:rPr>
                <w:sz w:val="20"/>
                <w:szCs w:val="20"/>
              </w:rPr>
            </w:pPr>
          </w:p>
        </w:tc>
        <w:tc>
          <w:tcPr>
            <w:tcW w:w="1916" w:type="dxa"/>
            <w:vMerge/>
            <w:tcBorders>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tcPr>
          <w:p w14:paraId="45DBF5A1" w14:textId="77777777" w:rsidR="002E362B" w:rsidRPr="00A86189" w:rsidRDefault="002E362B" w:rsidP="002E362B">
            <w:pPr>
              <w:pStyle w:val="TableParagraph"/>
              <w:spacing w:before="0"/>
              <w:ind w:left="57"/>
              <w:jc w:val="center"/>
              <w:rPr>
                <w:sz w:val="20"/>
                <w:szCs w:val="20"/>
              </w:rPr>
            </w:pPr>
          </w:p>
        </w:tc>
        <w:tc>
          <w:tcPr>
            <w:tcW w:w="1892"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226AEB5F" w14:textId="77777777" w:rsidR="002E362B" w:rsidRPr="00A86189" w:rsidRDefault="002A5E73" w:rsidP="002E362B">
            <w:pPr>
              <w:pStyle w:val="TableParagraph"/>
              <w:spacing w:before="0"/>
              <w:ind w:left="57"/>
              <w:jc w:val="center"/>
              <w:rPr>
                <w:sz w:val="20"/>
                <w:szCs w:val="20"/>
              </w:rPr>
            </w:pPr>
            <w:r>
              <w:rPr>
                <w:sz w:val="20"/>
                <w:szCs w:val="20"/>
              </w:rPr>
              <w:t>25</w:t>
            </w:r>
            <w:r w:rsidR="004855DA">
              <w:rPr>
                <w:sz w:val="20"/>
                <w:szCs w:val="20"/>
              </w:rPr>
              <w:t>0</w:t>
            </w:r>
            <w:r w:rsidR="002E362B" w:rsidRPr="00A86189">
              <w:rPr>
                <w:sz w:val="20"/>
                <w:szCs w:val="20"/>
              </w:rPr>
              <w:t>Hz</w:t>
            </w:r>
          </w:p>
        </w:tc>
        <w:tc>
          <w:tcPr>
            <w:tcW w:w="1778"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7AD452BB" w14:textId="77777777" w:rsidR="002E362B" w:rsidRPr="00A86189" w:rsidRDefault="002E362B" w:rsidP="002E362B">
            <w:pPr>
              <w:pStyle w:val="TableParagraph"/>
              <w:spacing w:before="0"/>
              <w:ind w:left="57"/>
              <w:jc w:val="center"/>
              <w:rPr>
                <w:sz w:val="20"/>
                <w:szCs w:val="20"/>
              </w:rPr>
            </w:pPr>
            <w:r w:rsidRPr="00A86189">
              <w:rPr>
                <w:sz w:val="20"/>
                <w:szCs w:val="20"/>
              </w:rPr>
              <w:t>5</w:t>
            </w:r>
            <w:r w:rsidR="002A5E73">
              <w:rPr>
                <w:sz w:val="20"/>
                <w:szCs w:val="20"/>
              </w:rPr>
              <w:t>0</w:t>
            </w:r>
            <w:r w:rsidRPr="00A86189">
              <w:rPr>
                <w:sz w:val="20"/>
                <w:szCs w:val="20"/>
              </w:rPr>
              <w:t>0Hz</w:t>
            </w:r>
          </w:p>
        </w:tc>
      </w:tr>
      <w:tr w:rsidR="002E362B" w:rsidRPr="00E42FFF" w14:paraId="24E321B9" w14:textId="77777777" w:rsidTr="002E362B">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6E5B090D"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Required SNR[dB]</w:t>
            </w:r>
          </w:p>
          <w:p w14:paraId="357718AE"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 xml:space="preserve">@ </w:t>
            </w:r>
            <w:r w:rsidRPr="00A86189">
              <w:rPr>
                <w:sz w:val="20"/>
                <w:szCs w:val="20"/>
              </w:rPr>
              <w:t>PER 20%</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34FAA6D9" w14:textId="77777777" w:rsidR="002E362B" w:rsidRPr="00A86189" w:rsidRDefault="004855DA" w:rsidP="002A5E73">
            <w:pPr>
              <w:pStyle w:val="TableParagraph"/>
              <w:spacing w:before="0"/>
              <w:ind w:left="57"/>
              <w:jc w:val="center"/>
              <w:rPr>
                <w:sz w:val="20"/>
                <w:szCs w:val="20"/>
              </w:rPr>
            </w:pPr>
            <w:r>
              <w:rPr>
                <w:sz w:val="20"/>
                <w:szCs w:val="20"/>
              </w:rPr>
              <w:t>4.</w:t>
            </w:r>
            <w:r w:rsidR="002A5E73">
              <w:rPr>
                <w:sz w:val="20"/>
                <w:szCs w:val="20"/>
              </w:rPr>
              <w:t>4</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0EDFB24B" w14:textId="77777777" w:rsidR="002E362B" w:rsidRPr="00A86189" w:rsidRDefault="004855DA" w:rsidP="002A5E73">
            <w:pPr>
              <w:pStyle w:val="TableParagraph"/>
              <w:spacing w:before="0"/>
              <w:ind w:left="57"/>
              <w:jc w:val="center"/>
              <w:rPr>
                <w:sz w:val="20"/>
                <w:szCs w:val="20"/>
              </w:rPr>
            </w:pPr>
            <w:r>
              <w:rPr>
                <w:sz w:val="20"/>
                <w:szCs w:val="20"/>
              </w:rPr>
              <w:t>5.</w:t>
            </w:r>
            <w:r w:rsidR="002A5E73">
              <w:rPr>
                <w:sz w:val="20"/>
                <w:szCs w:val="20"/>
              </w:rPr>
              <w:t>5</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36C7AA75" w14:textId="77777777" w:rsidR="002E362B" w:rsidRPr="00A86189" w:rsidRDefault="004855DA" w:rsidP="002E362B">
            <w:pPr>
              <w:pStyle w:val="TableParagraph"/>
              <w:spacing w:before="0"/>
              <w:ind w:left="57"/>
              <w:jc w:val="center"/>
              <w:rPr>
                <w:sz w:val="20"/>
                <w:szCs w:val="20"/>
              </w:rPr>
            </w:pPr>
            <w:r>
              <w:rPr>
                <w:sz w:val="20"/>
                <w:szCs w:val="20"/>
              </w:rPr>
              <w:t>5</w:t>
            </w:r>
            <w:r w:rsidR="002A5E73">
              <w:rPr>
                <w:sz w:val="20"/>
                <w:szCs w:val="20"/>
              </w:rPr>
              <w:t>.6</w:t>
            </w:r>
          </w:p>
        </w:tc>
      </w:tr>
      <w:tr w:rsidR="002E362B" w:rsidRPr="00E42FFF" w14:paraId="79A4AC76" w14:textId="77777777" w:rsidTr="002E362B">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38917A2B" w14:textId="77777777" w:rsidR="002E362B" w:rsidRPr="00A86189" w:rsidRDefault="002E362B" w:rsidP="002E362B">
            <w:pPr>
              <w:pStyle w:val="TableParagraph"/>
              <w:spacing w:before="0"/>
              <w:ind w:left="57"/>
              <w:jc w:val="center"/>
              <w:rPr>
                <w:sz w:val="20"/>
                <w:szCs w:val="20"/>
              </w:rPr>
            </w:pPr>
            <w:r w:rsidRPr="00A86189">
              <w:rPr>
                <w:sz w:val="20"/>
                <w:szCs w:val="20"/>
              </w:rPr>
              <w:t xml:space="preserve">Performance degradation </w:t>
            </w:r>
            <w:r w:rsidRPr="00A86189">
              <w:rPr>
                <w:rFonts w:hint="eastAsia"/>
                <w:sz w:val="20"/>
                <w:szCs w:val="20"/>
              </w:rPr>
              <w:t>with CR via ideal sync.</w:t>
            </w:r>
          </w:p>
          <w:p w14:paraId="400893CB"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w:t>
            </w:r>
            <w:r w:rsidRPr="00A86189">
              <w:rPr>
                <w:sz w:val="20"/>
                <w:szCs w:val="20"/>
              </w:rPr>
              <w:t xml:space="preserve">Gap </w:t>
            </w:r>
            <w:r w:rsidRPr="00A86189">
              <w:rPr>
                <w:rFonts w:hint="eastAsia"/>
                <w:sz w:val="20"/>
                <w:szCs w:val="20"/>
              </w:rPr>
              <w:t>for</w:t>
            </w:r>
            <w:r w:rsidRPr="00A86189">
              <w:rPr>
                <w:sz w:val="20"/>
                <w:szCs w:val="20"/>
              </w:rPr>
              <w:t xml:space="preserve"> required </w:t>
            </w:r>
            <w:r w:rsidRPr="00A86189">
              <w:rPr>
                <w:rFonts w:hint="eastAsia"/>
                <w:sz w:val="20"/>
                <w:szCs w:val="20"/>
              </w:rPr>
              <w:t>SNR)</w:t>
            </w:r>
          </w:p>
          <w:p w14:paraId="241ABA39"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[dB]</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3066F0A1" w14:textId="77777777" w:rsidR="002E362B" w:rsidRPr="00A86189" w:rsidRDefault="002E362B" w:rsidP="002E362B">
            <w:pPr>
              <w:pStyle w:val="TableParagraph"/>
              <w:spacing w:before="0"/>
              <w:ind w:left="57"/>
              <w:jc w:val="center"/>
              <w:rPr>
                <w:sz w:val="20"/>
                <w:szCs w:val="20"/>
              </w:rPr>
            </w:pPr>
            <w:r w:rsidRPr="00A86189">
              <w:rPr>
                <w:rFonts w:hint="eastAsia"/>
                <w:sz w:val="20"/>
                <w:szCs w:val="20"/>
              </w:rPr>
              <w:t>-</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82A14BF" w14:textId="77777777" w:rsidR="002E362B" w:rsidRPr="004855DA" w:rsidRDefault="004855DA" w:rsidP="002E362B">
            <w:pPr>
              <w:pStyle w:val="TableParagraph"/>
              <w:spacing w:before="0"/>
              <w:ind w:left="57"/>
              <w:jc w:val="center"/>
              <w:rPr>
                <w:rFonts w:eastAsiaTheme="minorEastAsia"/>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1</w:t>
            </w:r>
            <w:r w:rsidR="002A5E73">
              <w:rPr>
                <w:rFonts w:eastAsiaTheme="minorEastAsia"/>
                <w:sz w:val="20"/>
                <w:szCs w:val="20"/>
                <w:lang w:eastAsia="ko-KR"/>
              </w:rPr>
              <w:t>.1</w:t>
            </w:r>
            <w:r>
              <w:rPr>
                <w:rFonts w:eastAsiaTheme="minorEastAsia"/>
                <w:sz w:val="20"/>
                <w:szCs w:val="20"/>
                <w:lang w:eastAsia="ko-KR"/>
              </w:rPr>
              <w:t>dB</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016ACF70" w14:textId="77777777" w:rsidR="002E362B" w:rsidRPr="00A86189" w:rsidRDefault="004855DA" w:rsidP="002E362B">
            <w:pPr>
              <w:pStyle w:val="TableParagraph"/>
              <w:spacing w:before="0"/>
              <w:ind w:left="57"/>
              <w:jc w:val="center"/>
              <w:rPr>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1</w:t>
            </w:r>
            <w:r w:rsidR="002A5E73">
              <w:rPr>
                <w:rFonts w:eastAsiaTheme="minorEastAsia"/>
                <w:sz w:val="20"/>
                <w:szCs w:val="20"/>
                <w:lang w:eastAsia="ko-KR"/>
              </w:rPr>
              <w:t>.2</w:t>
            </w:r>
            <w:r>
              <w:rPr>
                <w:rFonts w:eastAsiaTheme="minorEastAsia"/>
                <w:sz w:val="20"/>
                <w:szCs w:val="20"/>
                <w:lang w:eastAsia="ko-KR"/>
              </w:rPr>
              <w:t>dB</w:t>
            </w:r>
          </w:p>
        </w:tc>
      </w:tr>
    </w:tbl>
    <w:p w14:paraId="3D793496" w14:textId="77777777" w:rsidR="002E362B" w:rsidRDefault="002E362B" w:rsidP="002E362B">
      <w:pPr>
        <w:pStyle w:val="BodyText"/>
        <w:rPr>
          <w:lang w:eastAsia="ko-KR"/>
        </w:rPr>
      </w:pPr>
    </w:p>
    <w:p w14:paraId="6DE33E53" w14:textId="77777777" w:rsidR="002A5E73" w:rsidRDefault="00B77D19" w:rsidP="004B767A">
      <w:pPr>
        <w:pStyle w:val="BodyText"/>
        <w:rPr>
          <w:lang w:eastAsia="ko-KR"/>
        </w:rPr>
      </w:pPr>
      <w:r w:rsidRPr="00B77D19">
        <w:rPr>
          <w:lang w:eastAsia="ko-KR"/>
        </w:rPr>
        <w:t>Figure 2 and Table 4 (for Link ID 1), Figure 3 and Table 5 (for Link ID 5) show the result confirmed by simulating the required SNR to satisfy PER 20% performance  under normal conditions when frequency offsets of respectively 250Hz and 500Hz are given.</w:t>
      </w:r>
    </w:p>
    <w:p w14:paraId="41DADC34" w14:textId="77777777" w:rsidR="006502EB" w:rsidRDefault="006502EB" w:rsidP="004B767A">
      <w:pPr>
        <w:pStyle w:val="BodyText"/>
        <w:rPr>
          <w:lang w:eastAsia="ko-KR"/>
        </w:rPr>
      </w:pPr>
      <w:r w:rsidRPr="006502EB">
        <w:rPr>
          <w:lang w:eastAsia="ko-KR"/>
        </w:rPr>
        <w:t>From the above results, it was confirmed that frequency offset processing is possible within about 1.2dB of performance degradation compared to coherent ideal synchronization by applying the CR algorithm for the SNR required for PER 20%.</w:t>
      </w:r>
    </w:p>
    <w:p w14:paraId="043EA005" w14:textId="77777777" w:rsidR="00B77D19" w:rsidRDefault="00EF1FAB" w:rsidP="004B767A">
      <w:pPr>
        <w:pStyle w:val="BodyText"/>
        <w:rPr>
          <w:lang w:eastAsia="ko-KR"/>
        </w:rPr>
      </w:pPr>
      <w:r>
        <w:rPr>
          <w:lang w:eastAsia="ko-KR"/>
        </w:rPr>
        <w:t>Therefore, it is expected that the</w:t>
      </w:r>
      <w:r w:rsidR="00B77D19" w:rsidRPr="00B77D19">
        <w:rPr>
          <w:lang w:eastAsia="ko-KR"/>
        </w:rPr>
        <w:t xml:space="preserve"> margin of SNR 3dB in the test specification</w:t>
      </w:r>
      <w:r>
        <w:rPr>
          <w:lang w:eastAsia="ko-KR"/>
        </w:rPr>
        <w:t xml:space="preserve"> </w:t>
      </w:r>
      <w:r w:rsidR="00B77D19" w:rsidRPr="00B77D19">
        <w:rPr>
          <w:lang w:eastAsia="ko-KR"/>
        </w:rPr>
        <w:t>meet</w:t>
      </w:r>
      <w:r>
        <w:rPr>
          <w:lang w:eastAsia="ko-KR"/>
        </w:rPr>
        <w:t>s</w:t>
      </w:r>
      <w:r w:rsidR="00B77D19" w:rsidRPr="00B77D19">
        <w:rPr>
          <w:lang w:eastAsia="ko-KR"/>
        </w:rPr>
        <w:t xml:space="preserve"> the receiver sensitivity requirement</w:t>
      </w:r>
      <w:r w:rsidR="00B77D19">
        <w:rPr>
          <w:lang w:eastAsia="ko-KR"/>
        </w:rPr>
        <w:t>s</w:t>
      </w:r>
      <w:r w:rsidR="00B77D19" w:rsidRPr="00B77D19">
        <w:rPr>
          <w:lang w:eastAsia="ko-KR"/>
        </w:rPr>
        <w:t xml:space="preserve"> PER of 20%</w:t>
      </w:r>
      <w:r w:rsidRPr="00EF1FAB">
        <w:rPr>
          <w:lang w:eastAsia="ko-KR"/>
        </w:rPr>
        <w:t xml:space="preserve"> </w:t>
      </w:r>
      <w:r>
        <w:rPr>
          <w:lang w:eastAsia="ko-KR"/>
        </w:rPr>
        <w:t>in</w:t>
      </w:r>
      <w:r w:rsidRPr="00B77D19">
        <w:rPr>
          <w:lang w:eastAsia="ko-KR"/>
        </w:rPr>
        <w:t xml:space="preserve"> Link ID 1 and 5</w:t>
      </w:r>
      <w:r>
        <w:rPr>
          <w:lang w:eastAsia="ko-KR"/>
        </w:rPr>
        <w:t xml:space="preserve"> considering to the above simulation result</w:t>
      </w:r>
      <w:r w:rsidR="00B77D19" w:rsidRPr="00B77D19">
        <w:rPr>
          <w:lang w:eastAsia="ko-KR"/>
        </w:rPr>
        <w:t>.</w:t>
      </w:r>
    </w:p>
    <w:p w14:paraId="718D8D38" w14:textId="77777777" w:rsidR="00B77D19" w:rsidRPr="00744D8F" w:rsidRDefault="00B77D19" w:rsidP="004B767A">
      <w:pPr>
        <w:pStyle w:val="BodyText"/>
        <w:rPr>
          <w:lang w:eastAsia="ko-KR"/>
        </w:rPr>
      </w:pPr>
    </w:p>
    <w:p w14:paraId="5E6FA064" w14:textId="77777777" w:rsidR="002E362B" w:rsidRDefault="00776765" w:rsidP="00776765">
      <w:pPr>
        <w:pStyle w:val="Heading2"/>
        <w:rPr>
          <w:lang w:eastAsia="ko-KR"/>
        </w:rPr>
      </w:pPr>
      <w:r>
        <w:rPr>
          <w:lang w:eastAsia="ko-KR"/>
        </w:rPr>
        <w:t>VDE-TER P</w:t>
      </w:r>
      <w:r>
        <w:rPr>
          <w:rFonts w:hint="eastAsia"/>
          <w:lang w:eastAsia="ko-KR"/>
        </w:rPr>
        <w:t xml:space="preserve">ER Performance on </w:t>
      </w:r>
      <w:r w:rsidRPr="00200030">
        <w:rPr>
          <w:rFonts w:hint="eastAsia"/>
          <w:lang w:eastAsia="ko-KR"/>
        </w:rPr>
        <w:t>Carrier</w:t>
      </w:r>
      <w:r>
        <w:rPr>
          <w:rFonts w:hint="eastAsia"/>
          <w:lang w:eastAsia="ko-KR"/>
        </w:rPr>
        <w:t xml:space="preserve"> Recovery Algorithm with </w:t>
      </w:r>
      <w:r w:rsidRPr="006F3A92">
        <w:rPr>
          <w:lang w:eastAsia="ko-KR"/>
        </w:rPr>
        <w:t>ITU-R M.2092-1</w:t>
      </w:r>
    </w:p>
    <w:p w14:paraId="7B6910B0" w14:textId="77777777" w:rsidR="000609E2" w:rsidRDefault="000609E2" w:rsidP="000609E2">
      <w:pPr>
        <w:pStyle w:val="BodyText"/>
        <w:rPr>
          <w:lang w:eastAsia="ko-KR"/>
        </w:rPr>
      </w:pPr>
      <w:r>
        <w:rPr>
          <w:lang w:eastAsia="ko-KR"/>
        </w:rPr>
        <w:t xml:space="preserve">Figure 4 and Table </w:t>
      </w:r>
      <w:r w:rsidR="00B8149A">
        <w:rPr>
          <w:lang w:eastAsia="ko-KR"/>
        </w:rPr>
        <w:t>6</w:t>
      </w:r>
      <w:r w:rsidRPr="00C83885">
        <w:rPr>
          <w:lang w:eastAsia="ko-KR"/>
        </w:rPr>
        <w:t xml:space="preserve"> show the PER performance results for </w:t>
      </w:r>
      <w:r>
        <w:rPr>
          <w:lang w:eastAsia="ko-KR"/>
        </w:rPr>
        <w:t>VDE-TER Link ID</w:t>
      </w:r>
      <w:r w:rsidRPr="00C83885">
        <w:rPr>
          <w:lang w:eastAsia="ko-KR"/>
        </w:rPr>
        <w:t xml:space="preserve"> </w:t>
      </w:r>
      <w:r>
        <w:rPr>
          <w:lang w:eastAsia="ko-KR"/>
        </w:rPr>
        <w:t>1</w:t>
      </w:r>
      <w:r w:rsidRPr="00C83885">
        <w:rPr>
          <w:lang w:eastAsia="ko-KR"/>
        </w:rPr>
        <w:t>1 when frequency offsets of 250 Hz and 500 Hz are given, respectively, under normal conditions.</w:t>
      </w:r>
    </w:p>
    <w:p w14:paraId="08B23384" w14:textId="77777777" w:rsidR="00387D06" w:rsidRPr="000609E2" w:rsidRDefault="00387D06" w:rsidP="00387D06">
      <w:pPr>
        <w:pStyle w:val="BodyText"/>
        <w:rPr>
          <w:lang w:eastAsia="ko-K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791"/>
      </w:tblGrid>
      <w:tr w:rsidR="00387D06" w14:paraId="5C1EB91F" w14:textId="77777777" w:rsidTr="00027D8F">
        <w:tc>
          <w:tcPr>
            <w:tcW w:w="4837" w:type="dxa"/>
            <w:vAlign w:val="bottom"/>
          </w:tcPr>
          <w:p w14:paraId="376F00EE" w14:textId="77777777" w:rsidR="00387D06" w:rsidRDefault="002A5E73" w:rsidP="00027D8F">
            <w:pPr>
              <w:pStyle w:val="BodyText"/>
              <w:jc w:val="center"/>
              <w:rPr>
                <w:lang w:eastAsia="ko-KR"/>
              </w:rPr>
            </w:pPr>
            <w:r w:rsidRPr="002A5E73">
              <w:rPr>
                <w:noProof/>
                <w:lang w:val="en-US" w:eastAsia="ko-KR"/>
              </w:rPr>
              <w:drawing>
                <wp:inline distT="0" distB="0" distL="0" distR="0" wp14:anchorId="285874F0" wp14:editId="648AD51B">
                  <wp:extent cx="2787650" cy="2203450"/>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7650" cy="2203450"/>
                          </a:xfrm>
                          <a:prstGeom prst="rect">
                            <a:avLst/>
                          </a:prstGeom>
                          <a:noFill/>
                          <a:ln>
                            <a:noFill/>
                          </a:ln>
                        </pic:spPr>
                      </pic:pic>
                    </a:graphicData>
                  </a:graphic>
                </wp:inline>
              </w:drawing>
            </w:r>
          </w:p>
          <w:p w14:paraId="38838A38" w14:textId="77777777" w:rsidR="00387D06" w:rsidRDefault="00387D06" w:rsidP="00E74105">
            <w:pPr>
              <w:pStyle w:val="BodyText"/>
              <w:jc w:val="center"/>
              <w:rPr>
                <w:lang w:eastAsia="ko-KR"/>
              </w:rPr>
            </w:pPr>
            <w:r>
              <w:rPr>
                <w:rFonts w:hint="eastAsia"/>
                <w:lang w:eastAsia="ko-KR"/>
              </w:rPr>
              <w:t>(a)</w:t>
            </w:r>
            <w:r>
              <w:rPr>
                <w:lang w:eastAsia="ko-KR"/>
              </w:rPr>
              <w:t xml:space="preserve"> Carrier Frequency Offset: </w:t>
            </w:r>
            <w:r w:rsidR="00A66DB3">
              <w:rPr>
                <w:lang w:eastAsia="ko-KR"/>
              </w:rPr>
              <w:t>25</w:t>
            </w:r>
            <w:r w:rsidR="00D74094" w:rsidRPr="00941175">
              <w:rPr>
                <w:lang w:eastAsia="ko-KR"/>
              </w:rPr>
              <w:t>0Hz</w:t>
            </w:r>
          </w:p>
        </w:tc>
        <w:tc>
          <w:tcPr>
            <w:tcW w:w="4791" w:type="dxa"/>
            <w:vAlign w:val="bottom"/>
          </w:tcPr>
          <w:p w14:paraId="295A656E" w14:textId="77777777" w:rsidR="00387D06" w:rsidRDefault="002A5E73" w:rsidP="00027D8F">
            <w:pPr>
              <w:pStyle w:val="BodyText"/>
              <w:jc w:val="center"/>
              <w:rPr>
                <w:lang w:eastAsia="ko-KR"/>
              </w:rPr>
            </w:pPr>
            <w:r w:rsidRPr="002A5E73">
              <w:rPr>
                <w:noProof/>
                <w:lang w:val="en-US" w:eastAsia="ko-KR"/>
              </w:rPr>
              <w:drawing>
                <wp:inline distT="0" distB="0" distL="0" distR="0" wp14:anchorId="3D1E564F" wp14:editId="4FE1E4F2">
                  <wp:extent cx="2774950" cy="2190750"/>
                  <wp:effectExtent l="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74950" cy="2190750"/>
                          </a:xfrm>
                          <a:prstGeom prst="rect">
                            <a:avLst/>
                          </a:prstGeom>
                          <a:noFill/>
                          <a:ln>
                            <a:noFill/>
                          </a:ln>
                        </pic:spPr>
                      </pic:pic>
                    </a:graphicData>
                  </a:graphic>
                </wp:inline>
              </w:drawing>
            </w:r>
          </w:p>
          <w:p w14:paraId="0BF1F3B2" w14:textId="77777777" w:rsidR="00387D06" w:rsidRDefault="00387D06" w:rsidP="00027D8F">
            <w:pPr>
              <w:pStyle w:val="BodyText"/>
              <w:jc w:val="center"/>
              <w:rPr>
                <w:lang w:eastAsia="ko-KR"/>
              </w:rPr>
            </w:pPr>
            <w:r>
              <w:rPr>
                <w:rFonts w:hint="eastAsia"/>
                <w:lang w:eastAsia="ko-KR"/>
              </w:rPr>
              <w:t>(b)</w:t>
            </w:r>
            <w:r w:rsidR="00A66DB3">
              <w:rPr>
                <w:lang w:eastAsia="ko-KR"/>
              </w:rPr>
              <w:t xml:space="preserve"> Carrier Frequency Offset: 50</w:t>
            </w:r>
            <w:r>
              <w:rPr>
                <w:lang w:eastAsia="ko-KR"/>
              </w:rPr>
              <w:t>0Hz</w:t>
            </w:r>
          </w:p>
        </w:tc>
      </w:tr>
    </w:tbl>
    <w:p w14:paraId="21B0C2B7" w14:textId="77777777" w:rsidR="00387D06" w:rsidRPr="00577104" w:rsidRDefault="00387D06" w:rsidP="00387D06">
      <w:pPr>
        <w:pStyle w:val="Caption"/>
        <w:jc w:val="center"/>
        <w:rPr>
          <w:lang w:eastAsia="ko-KR"/>
        </w:rPr>
      </w:pPr>
      <w:r>
        <w:t xml:space="preserve">Figure </w:t>
      </w:r>
      <w:r>
        <w:rPr>
          <w:noProof/>
        </w:rPr>
        <w:fldChar w:fldCharType="begin"/>
      </w:r>
      <w:r>
        <w:rPr>
          <w:noProof/>
        </w:rPr>
        <w:instrText xml:space="preserve"> SEQ Figure \* ARABIC </w:instrText>
      </w:r>
      <w:r>
        <w:rPr>
          <w:noProof/>
        </w:rPr>
        <w:fldChar w:fldCharType="separate"/>
      </w:r>
      <w:r>
        <w:rPr>
          <w:noProof/>
        </w:rPr>
        <w:t>4</w:t>
      </w:r>
      <w:r>
        <w:rPr>
          <w:noProof/>
        </w:rPr>
        <w:fldChar w:fldCharType="end"/>
      </w:r>
      <w:r>
        <w:t xml:space="preserve"> P</w:t>
      </w:r>
      <w:r w:rsidRPr="00577104">
        <w:t>ER Performance with CR</w:t>
      </w:r>
      <w:r>
        <w:t xml:space="preserve"> under Carrier Frequency </w:t>
      </w:r>
      <w:r w:rsidR="00A66DB3">
        <w:rPr>
          <w:lang w:eastAsia="ko-KR"/>
        </w:rPr>
        <w:t>Offset (VDE-TER</w:t>
      </w:r>
      <w:r>
        <w:rPr>
          <w:lang w:eastAsia="ko-KR"/>
        </w:rPr>
        <w:t xml:space="preserve"> Link ID </w:t>
      </w:r>
      <w:r w:rsidR="00A66DB3">
        <w:rPr>
          <w:lang w:eastAsia="ko-KR"/>
        </w:rPr>
        <w:t>11</w:t>
      </w:r>
      <w:r>
        <w:rPr>
          <w:lang w:eastAsia="ko-KR"/>
        </w:rPr>
        <w:t>)</w:t>
      </w:r>
    </w:p>
    <w:p w14:paraId="152AA1E7" w14:textId="77777777" w:rsidR="00387D06" w:rsidRDefault="00387D06" w:rsidP="00387D06">
      <w:pPr>
        <w:pStyle w:val="BodyText"/>
        <w:rPr>
          <w:lang w:eastAsia="ko-KR"/>
        </w:rPr>
      </w:pPr>
    </w:p>
    <w:p w14:paraId="1F91CFF8" w14:textId="77777777" w:rsidR="00387D06" w:rsidRDefault="00387D06" w:rsidP="00387D06">
      <w:pPr>
        <w:pStyle w:val="Caption"/>
        <w:keepNext/>
        <w:jc w:val="center"/>
      </w:pPr>
      <w:r>
        <w:t xml:space="preserve">Table </w:t>
      </w:r>
      <w:r>
        <w:rPr>
          <w:noProof/>
        </w:rPr>
        <w:fldChar w:fldCharType="begin"/>
      </w:r>
      <w:r>
        <w:rPr>
          <w:noProof/>
        </w:rPr>
        <w:instrText xml:space="preserve"> SEQ Table \* ARABIC </w:instrText>
      </w:r>
      <w:r>
        <w:rPr>
          <w:noProof/>
        </w:rPr>
        <w:fldChar w:fldCharType="separate"/>
      </w:r>
      <w:r>
        <w:rPr>
          <w:noProof/>
        </w:rPr>
        <w:t>6</w:t>
      </w:r>
      <w:r>
        <w:rPr>
          <w:noProof/>
        </w:rPr>
        <w:fldChar w:fldCharType="end"/>
      </w:r>
      <w:r>
        <w:t xml:space="preserve"> P</w:t>
      </w:r>
      <w:r>
        <w:rPr>
          <w:rFonts w:hint="eastAsia"/>
          <w:lang w:eastAsia="ko-KR"/>
        </w:rPr>
        <w:t>ER Performance with C</w:t>
      </w:r>
      <w:r>
        <w:rPr>
          <w:lang w:eastAsia="ko-KR"/>
        </w:rPr>
        <w:t xml:space="preserve">arrier </w:t>
      </w:r>
      <w:r>
        <w:rPr>
          <w:rFonts w:hint="eastAsia"/>
          <w:lang w:eastAsia="ko-KR"/>
        </w:rPr>
        <w:t>R</w:t>
      </w:r>
      <w:r>
        <w:rPr>
          <w:lang w:eastAsia="ko-KR"/>
        </w:rPr>
        <w:t>ecovery (VDE-TER Link ID 11)</w:t>
      </w:r>
    </w:p>
    <w:tbl>
      <w:tblPr>
        <w:tblW w:w="8251" w:type="dxa"/>
        <w:jc w:val="center"/>
        <w:tblCellMar>
          <w:left w:w="0" w:type="dxa"/>
          <w:right w:w="0" w:type="dxa"/>
        </w:tblCellMar>
        <w:tblLook w:val="04A0" w:firstRow="1" w:lastRow="0" w:firstColumn="1" w:lastColumn="0" w:noHBand="0" w:noVBand="1"/>
      </w:tblPr>
      <w:tblGrid>
        <w:gridCol w:w="2665"/>
        <w:gridCol w:w="1916"/>
        <w:gridCol w:w="1892"/>
        <w:gridCol w:w="1778"/>
      </w:tblGrid>
      <w:tr w:rsidR="00387D06" w:rsidRPr="00E42FFF" w14:paraId="77607613" w14:textId="77777777" w:rsidTr="00027D8F">
        <w:trPr>
          <w:trHeight w:val="20"/>
          <w:jc w:val="center"/>
        </w:trPr>
        <w:tc>
          <w:tcPr>
            <w:tcW w:w="2665" w:type="dxa"/>
            <w:vMerge w:val="restart"/>
            <w:tcBorders>
              <w:top w:val="single" w:sz="8" w:space="0" w:color="BFBFBF"/>
              <w:left w:val="single" w:sz="8" w:space="0" w:color="BFBFBF"/>
              <w:right w:val="single" w:sz="8" w:space="0" w:color="BFBFBF"/>
            </w:tcBorders>
            <w:shd w:val="clear" w:color="auto" w:fill="F2F2F2"/>
            <w:vAlign w:val="center"/>
          </w:tcPr>
          <w:p w14:paraId="37E427A6" w14:textId="77777777" w:rsidR="00387D06" w:rsidRPr="00A86189" w:rsidRDefault="00387D06" w:rsidP="00027D8F">
            <w:pPr>
              <w:pStyle w:val="TableParagraph"/>
              <w:spacing w:before="0"/>
              <w:ind w:left="57"/>
              <w:jc w:val="center"/>
              <w:rPr>
                <w:sz w:val="20"/>
                <w:szCs w:val="20"/>
              </w:rPr>
            </w:pPr>
            <w:r w:rsidRPr="00A86189">
              <w:rPr>
                <w:sz w:val="20"/>
                <w:szCs w:val="20"/>
              </w:rPr>
              <w:t xml:space="preserve">Link ID </w:t>
            </w:r>
            <w:r>
              <w:rPr>
                <w:sz w:val="20"/>
                <w:szCs w:val="20"/>
              </w:rPr>
              <w:t>11</w:t>
            </w:r>
          </w:p>
          <w:p w14:paraId="46D1DAE1"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w:t>
            </w:r>
            <w:r w:rsidR="00027AA1">
              <w:rPr>
                <w:sz w:val="20"/>
                <w:szCs w:val="20"/>
              </w:rPr>
              <w:t>1/2</w:t>
            </w:r>
            <w:r>
              <w:rPr>
                <w:sz w:val="20"/>
                <w:szCs w:val="20"/>
              </w:rPr>
              <w:t xml:space="preserve"> </w:t>
            </w:r>
            <w:r w:rsidRPr="00A86189">
              <w:rPr>
                <w:rFonts w:hint="eastAsia"/>
                <w:sz w:val="20"/>
                <w:szCs w:val="20"/>
              </w:rPr>
              <w:t>π</w:t>
            </w:r>
            <w:r>
              <w:rPr>
                <w:rFonts w:hint="eastAsia"/>
                <w:sz w:val="20"/>
                <w:szCs w:val="20"/>
              </w:rPr>
              <w:t>/4-QPSK</w:t>
            </w:r>
            <w:r w:rsidRPr="00A86189">
              <w:rPr>
                <w:rFonts w:hint="eastAsia"/>
                <w:sz w:val="20"/>
                <w:szCs w:val="20"/>
              </w:rPr>
              <w:t>)</w:t>
            </w:r>
          </w:p>
        </w:tc>
        <w:tc>
          <w:tcPr>
            <w:tcW w:w="1916" w:type="dxa"/>
            <w:vMerge w:val="restart"/>
            <w:tcBorders>
              <w:top w:val="single" w:sz="8" w:space="0" w:color="BFBFBF"/>
              <w:left w:val="single" w:sz="8" w:space="0" w:color="BFBFBF"/>
              <w:right w:val="single" w:sz="8" w:space="0" w:color="BFBFBF"/>
            </w:tcBorders>
            <w:shd w:val="clear" w:color="auto" w:fill="F2F2F2"/>
            <w:tcMar>
              <w:top w:w="45" w:type="dxa"/>
              <w:left w:w="144" w:type="dxa"/>
              <w:bottom w:w="45" w:type="dxa"/>
              <w:right w:w="144" w:type="dxa"/>
            </w:tcMar>
            <w:vAlign w:val="center"/>
          </w:tcPr>
          <w:p w14:paraId="7BC6BFD4"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with Coherent</w:t>
            </w:r>
          </w:p>
          <w:p w14:paraId="12BA1CE8"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Ideal sync.</w:t>
            </w:r>
          </w:p>
        </w:tc>
        <w:tc>
          <w:tcPr>
            <w:tcW w:w="3670" w:type="dxa"/>
            <w:gridSpan w:val="2"/>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08F3B18C" w14:textId="77777777" w:rsidR="00387D06" w:rsidRPr="00A86189" w:rsidRDefault="00387D06" w:rsidP="00027D8F">
            <w:pPr>
              <w:pStyle w:val="TableParagraph"/>
              <w:spacing w:before="0"/>
              <w:ind w:left="57"/>
              <w:jc w:val="center"/>
              <w:rPr>
                <w:sz w:val="20"/>
                <w:szCs w:val="20"/>
              </w:rPr>
            </w:pPr>
            <w:r w:rsidRPr="00A86189">
              <w:rPr>
                <w:sz w:val="20"/>
                <w:szCs w:val="20"/>
              </w:rPr>
              <w:t>Carrier Frequency Offset</w:t>
            </w:r>
          </w:p>
          <w:p w14:paraId="07EF035B"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 xml:space="preserve">with </w:t>
            </w:r>
            <w:r w:rsidRPr="00A86189">
              <w:rPr>
                <w:sz w:val="20"/>
                <w:szCs w:val="20"/>
              </w:rPr>
              <w:t xml:space="preserve"> </w:t>
            </w:r>
            <w:r w:rsidRPr="00A86189">
              <w:rPr>
                <w:rFonts w:hint="eastAsia"/>
                <w:sz w:val="20"/>
                <w:szCs w:val="20"/>
              </w:rPr>
              <w:t>General C</w:t>
            </w:r>
            <w:r w:rsidRPr="00A86189">
              <w:rPr>
                <w:sz w:val="20"/>
                <w:szCs w:val="20"/>
              </w:rPr>
              <w:t>R</w:t>
            </w:r>
          </w:p>
        </w:tc>
      </w:tr>
      <w:tr w:rsidR="00387D06" w:rsidRPr="00E42FFF" w14:paraId="2BB9C42C" w14:textId="77777777" w:rsidTr="00027D8F">
        <w:trPr>
          <w:trHeight w:val="20"/>
          <w:jc w:val="center"/>
        </w:trPr>
        <w:tc>
          <w:tcPr>
            <w:tcW w:w="2665" w:type="dxa"/>
            <w:vMerge/>
            <w:tcBorders>
              <w:left w:val="single" w:sz="8" w:space="0" w:color="BFBFBF"/>
              <w:bottom w:val="single" w:sz="8" w:space="0" w:color="BFBFBF"/>
              <w:right w:val="single" w:sz="8" w:space="0" w:color="BFBFBF"/>
            </w:tcBorders>
            <w:shd w:val="clear" w:color="auto" w:fill="F2F2F2"/>
            <w:vAlign w:val="center"/>
          </w:tcPr>
          <w:p w14:paraId="4A9EA3B3" w14:textId="77777777" w:rsidR="00387D06" w:rsidRPr="00A86189" w:rsidRDefault="00387D06" w:rsidP="00027D8F">
            <w:pPr>
              <w:pStyle w:val="TableParagraph"/>
              <w:spacing w:before="0"/>
              <w:ind w:left="57"/>
              <w:jc w:val="center"/>
              <w:rPr>
                <w:sz w:val="20"/>
                <w:szCs w:val="20"/>
              </w:rPr>
            </w:pPr>
          </w:p>
        </w:tc>
        <w:tc>
          <w:tcPr>
            <w:tcW w:w="1916" w:type="dxa"/>
            <w:vMerge/>
            <w:tcBorders>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tcPr>
          <w:p w14:paraId="42FAD9FA" w14:textId="77777777" w:rsidR="00387D06" w:rsidRPr="00A86189" w:rsidRDefault="00387D06" w:rsidP="00027D8F">
            <w:pPr>
              <w:pStyle w:val="TableParagraph"/>
              <w:spacing w:before="0"/>
              <w:ind w:left="57"/>
              <w:jc w:val="center"/>
              <w:rPr>
                <w:sz w:val="20"/>
                <w:szCs w:val="20"/>
              </w:rPr>
            </w:pPr>
          </w:p>
        </w:tc>
        <w:tc>
          <w:tcPr>
            <w:tcW w:w="1892"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2C891E65" w14:textId="77777777" w:rsidR="00387D06" w:rsidRPr="00A86189" w:rsidRDefault="00496491" w:rsidP="00496491">
            <w:pPr>
              <w:pStyle w:val="TableParagraph"/>
              <w:spacing w:before="0"/>
              <w:ind w:left="57"/>
              <w:jc w:val="center"/>
              <w:rPr>
                <w:sz w:val="20"/>
                <w:szCs w:val="20"/>
              </w:rPr>
            </w:pPr>
            <w:r>
              <w:rPr>
                <w:sz w:val="20"/>
                <w:szCs w:val="20"/>
              </w:rPr>
              <w:t>25</w:t>
            </w:r>
            <w:r w:rsidR="00387D06">
              <w:rPr>
                <w:sz w:val="20"/>
                <w:szCs w:val="20"/>
              </w:rPr>
              <w:t>0</w:t>
            </w:r>
            <w:r w:rsidR="00387D06" w:rsidRPr="00A86189">
              <w:rPr>
                <w:sz w:val="20"/>
                <w:szCs w:val="20"/>
              </w:rPr>
              <w:t>Hz</w:t>
            </w:r>
          </w:p>
        </w:tc>
        <w:tc>
          <w:tcPr>
            <w:tcW w:w="1778"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235FC29D" w14:textId="77777777" w:rsidR="00387D06" w:rsidRPr="00A86189" w:rsidRDefault="00496491" w:rsidP="00496491">
            <w:pPr>
              <w:pStyle w:val="TableParagraph"/>
              <w:spacing w:before="0"/>
              <w:ind w:left="57"/>
              <w:jc w:val="center"/>
              <w:rPr>
                <w:sz w:val="20"/>
                <w:szCs w:val="20"/>
              </w:rPr>
            </w:pPr>
            <w:r>
              <w:rPr>
                <w:sz w:val="20"/>
                <w:szCs w:val="20"/>
              </w:rPr>
              <w:t>500</w:t>
            </w:r>
            <w:r w:rsidR="00387D06" w:rsidRPr="00A86189">
              <w:rPr>
                <w:sz w:val="20"/>
                <w:szCs w:val="20"/>
              </w:rPr>
              <w:t>Hz</w:t>
            </w:r>
          </w:p>
        </w:tc>
      </w:tr>
      <w:tr w:rsidR="00387D06" w:rsidRPr="00E42FFF" w14:paraId="7B9FF951" w14:textId="77777777" w:rsidTr="00027D8F">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10A79C3C"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lastRenderedPageBreak/>
              <w:t>Required SNR[dB]</w:t>
            </w:r>
          </w:p>
          <w:p w14:paraId="092171E2" w14:textId="77777777" w:rsidR="00387D06" w:rsidRPr="00A86189" w:rsidRDefault="00387D06" w:rsidP="00A66DB3">
            <w:pPr>
              <w:pStyle w:val="TableParagraph"/>
              <w:spacing w:before="0"/>
              <w:ind w:left="57"/>
              <w:jc w:val="center"/>
              <w:rPr>
                <w:sz w:val="20"/>
                <w:szCs w:val="20"/>
              </w:rPr>
            </w:pPr>
            <w:r w:rsidRPr="00A86189">
              <w:rPr>
                <w:rFonts w:hint="eastAsia"/>
                <w:sz w:val="20"/>
                <w:szCs w:val="20"/>
              </w:rPr>
              <w:t xml:space="preserve">@ </w:t>
            </w:r>
            <w:r w:rsidRPr="00A86189">
              <w:rPr>
                <w:sz w:val="20"/>
                <w:szCs w:val="20"/>
              </w:rPr>
              <w:t xml:space="preserve">PER </w:t>
            </w:r>
            <w:r w:rsidR="00A66DB3">
              <w:rPr>
                <w:sz w:val="20"/>
                <w:szCs w:val="20"/>
              </w:rPr>
              <w:t>1</w:t>
            </w:r>
            <w:r w:rsidRPr="00A86189">
              <w:rPr>
                <w:sz w:val="20"/>
                <w:szCs w:val="20"/>
              </w:rPr>
              <w:t>%</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631A9489" w14:textId="77777777" w:rsidR="00387D06" w:rsidRPr="00A86189" w:rsidRDefault="00A66DB3" w:rsidP="00027D8F">
            <w:pPr>
              <w:pStyle w:val="TableParagraph"/>
              <w:spacing w:before="0"/>
              <w:ind w:left="57"/>
              <w:jc w:val="center"/>
              <w:rPr>
                <w:sz w:val="20"/>
                <w:szCs w:val="20"/>
              </w:rPr>
            </w:pPr>
            <w:r>
              <w:rPr>
                <w:sz w:val="20"/>
                <w:szCs w:val="20"/>
              </w:rPr>
              <w:t>2.0</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0DC136C5" w14:textId="77777777" w:rsidR="00387D06" w:rsidRPr="00A66DB3" w:rsidRDefault="00A66DB3" w:rsidP="00B10ED3">
            <w:pPr>
              <w:pStyle w:val="TableParagraph"/>
              <w:spacing w:before="0"/>
              <w:ind w:left="57"/>
              <w:jc w:val="center"/>
              <w:rPr>
                <w:rFonts w:eastAsiaTheme="minorEastAsia"/>
                <w:sz w:val="20"/>
                <w:szCs w:val="20"/>
                <w:lang w:eastAsia="ko-KR"/>
              </w:rPr>
            </w:pPr>
            <w:r>
              <w:rPr>
                <w:rFonts w:eastAsiaTheme="minorEastAsia" w:hint="eastAsia"/>
                <w:sz w:val="20"/>
                <w:szCs w:val="20"/>
                <w:lang w:eastAsia="ko-KR"/>
              </w:rPr>
              <w:t>7.8</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485EE5BA" w14:textId="77777777" w:rsidR="00387D06" w:rsidRPr="00A86189" w:rsidRDefault="00A66DB3" w:rsidP="00B10ED3">
            <w:pPr>
              <w:pStyle w:val="TableParagraph"/>
              <w:spacing w:before="0"/>
              <w:ind w:left="57"/>
              <w:jc w:val="center"/>
              <w:rPr>
                <w:sz w:val="20"/>
                <w:szCs w:val="20"/>
              </w:rPr>
            </w:pPr>
            <w:r>
              <w:rPr>
                <w:sz w:val="20"/>
                <w:szCs w:val="20"/>
              </w:rPr>
              <w:t>7.8</w:t>
            </w:r>
          </w:p>
        </w:tc>
      </w:tr>
      <w:tr w:rsidR="00387D06" w:rsidRPr="00E42FFF" w14:paraId="7E7A7D9F" w14:textId="77777777" w:rsidTr="00027D8F">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432C9615" w14:textId="77777777" w:rsidR="00387D06" w:rsidRPr="00A86189" w:rsidRDefault="00387D06" w:rsidP="00027D8F">
            <w:pPr>
              <w:pStyle w:val="TableParagraph"/>
              <w:spacing w:before="0"/>
              <w:ind w:left="57"/>
              <w:jc w:val="center"/>
              <w:rPr>
                <w:sz w:val="20"/>
                <w:szCs w:val="20"/>
              </w:rPr>
            </w:pPr>
            <w:r w:rsidRPr="00A86189">
              <w:rPr>
                <w:sz w:val="20"/>
                <w:szCs w:val="20"/>
              </w:rPr>
              <w:t xml:space="preserve">Performance degradation </w:t>
            </w:r>
            <w:r w:rsidRPr="00A86189">
              <w:rPr>
                <w:rFonts w:hint="eastAsia"/>
                <w:sz w:val="20"/>
                <w:szCs w:val="20"/>
              </w:rPr>
              <w:t>with CR via ideal sync.</w:t>
            </w:r>
          </w:p>
          <w:p w14:paraId="20866EA2"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w:t>
            </w:r>
            <w:r w:rsidRPr="00A86189">
              <w:rPr>
                <w:sz w:val="20"/>
                <w:szCs w:val="20"/>
              </w:rPr>
              <w:t xml:space="preserve">Gap </w:t>
            </w:r>
            <w:r w:rsidRPr="00A86189">
              <w:rPr>
                <w:rFonts w:hint="eastAsia"/>
                <w:sz w:val="20"/>
                <w:szCs w:val="20"/>
              </w:rPr>
              <w:t>for</w:t>
            </w:r>
            <w:r w:rsidRPr="00A86189">
              <w:rPr>
                <w:sz w:val="20"/>
                <w:szCs w:val="20"/>
              </w:rPr>
              <w:t xml:space="preserve"> required </w:t>
            </w:r>
            <w:r w:rsidRPr="00A86189">
              <w:rPr>
                <w:rFonts w:hint="eastAsia"/>
                <w:sz w:val="20"/>
                <w:szCs w:val="20"/>
              </w:rPr>
              <w:t>SNR)</w:t>
            </w:r>
          </w:p>
          <w:p w14:paraId="604F0FDF"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[dB]</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5420C1BE" w14:textId="77777777" w:rsidR="00387D06" w:rsidRPr="00A86189" w:rsidRDefault="00387D06" w:rsidP="00027D8F">
            <w:pPr>
              <w:pStyle w:val="TableParagraph"/>
              <w:spacing w:before="0"/>
              <w:ind w:left="57"/>
              <w:jc w:val="center"/>
              <w:rPr>
                <w:sz w:val="20"/>
                <w:szCs w:val="20"/>
              </w:rPr>
            </w:pPr>
            <w:r w:rsidRPr="00A86189">
              <w:rPr>
                <w:rFonts w:hint="eastAsia"/>
                <w:sz w:val="20"/>
                <w:szCs w:val="20"/>
              </w:rPr>
              <w:t>-</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07B566CD" w14:textId="77777777" w:rsidR="00387D06" w:rsidRPr="004855DA" w:rsidRDefault="00387D06" w:rsidP="00A66DB3">
            <w:pPr>
              <w:pStyle w:val="TableParagraph"/>
              <w:spacing w:before="0"/>
              <w:ind w:left="57"/>
              <w:jc w:val="center"/>
              <w:rPr>
                <w:rFonts w:eastAsiaTheme="minorEastAsia"/>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w:t>
            </w:r>
            <w:r w:rsidR="00A66DB3">
              <w:rPr>
                <w:rFonts w:eastAsiaTheme="minorEastAsia"/>
                <w:sz w:val="20"/>
                <w:szCs w:val="20"/>
                <w:lang w:eastAsia="ko-KR"/>
              </w:rPr>
              <w:t>5</w:t>
            </w:r>
            <w:r w:rsidR="00B10ED3">
              <w:rPr>
                <w:rFonts w:eastAsiaTheme="minorEastAsia"/>
                <w:sz w:val="20"/>
                <w:szCs w:val="20"/>
                <w:lang w:eastAsia="ko-KR"/>
              </w:rPr>
              <w:t>.</w:t>
            </w:r>
            <w:r w:rsidR="00B26E3E">
              <w:rPr>
                <w:rFonts w:eastAsiaTheme="minorEastAsia"/>
                <w:sz w:val="20"/>
                <w:szCs w:val="20"/>
                <w:lang w:eastAsia="ko-KR"/>
              </w:rPr>
              <w:t>8</w:t>
            </w:r>
            <w:r>
              <w:rPr>
                <w:rFonts w:eastAsiaTheme="minorEastAsia"/>
                <w:sz w:val="20"/>
                <w:szCs w:val="20"/>
                <w:lang w:eastAsia="ko-KR"/>
              </w:rPr>
              <w:t>dB</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5535729B" w14:textId="77777777" w:rsidR="00387D06" w:rsidRPr="00A86189" w:rsidRDefault="00387D06" w:rsidP="00A66DB3">
            <w:pPr>
              <w:pStyle w:val="TableParagraph"/>
              <w:spacing w:before="0"/>
              <w:ind w:left="57"/>
              <w:jc w:val="center"/>
              <w:rPr>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w:t>
            </w:r>
            <w:r w:rsidR="00A66DB3">
              <w:rPr>
                <w:rFonts w:eastAsiaTheme="minorEastAsia"/>
                <w:sz w:val="20"/>
                <w:szCs w:val="20"/>
                <w:lang w:eastAsia="ko-KR"/>
              </w:rPr>
              <w:t>5</w:t>
            </w:r>
            <w:r w:rsidR="00B10ED3">
              <w:rPr>
                <w:rFonts w:eastAsiaTheme="minorEastAsia"/>
                <w:sz w:val="20"/>
                <w:szCs w:val="20"/>
                <w:lang w:eastAsia="ko-KR"/>
              </w:rPr>
              <w:t>.</w:t>
            </w:r>
            <w:r w:rsidR="00B26E3E">
              <w:rPr>
                <w:rFonts w:eastAsiaTheme="minorEastAsia"/>
                <w:sz w:val="20"/>
                <w:szCs w:val="20"/>
                <w:lang w:eastAsia="ko-KR"/>
              </w:rPr>
              <w:t>8</w:t>
            </w:r>
            <w:r>
              <w:rPr>
                <w:rFonts w:eastAsiaTheme="minorEastAsia"/>
                <w:sz w:val="20"/>
                <w:szCs w:val="20"/>
                <w:lang w:eastAsia="ko-KR"/>
              </w:rPr>
              <w:t>dB</w:t>
            </w:r>
          </w:p>
        </w:tc>
      </w:tr>
    </w:tbl>
    <w:p w14:paraId="3C322A62" w14:textId="77777777" w:rsidR="00387D06" w:rsidRDefault="00387D06" w:rsidP="00387D06">
      <w:pPr>
        <w:pStyle w:val="BodyText"/>
        <w:rPr>
          <w:lang w:eastAsia="ko-KR"/>
        </w:rPr>
      </w:pPr>
    </w:p>
    <w:p w14:paraId="6B90C18C" w14:textId="77777777" w:rsidR="000609E2" w:rsidRDefault="000609E2" w:rsidP="000609E2">
      <w:pPr>
        <w:pStyle w:val="BodyText"/>
        <w:rPr>
          <w:lang w:eastAsia="ko-KR"/>
        </w:rPr>
      </w:pPr>
      <w:r>
        <w:rPr>
          <w:lang w:eastAsia="ko-KR"/>
        </w:rPr>
        <w:t>Figure 5 and Table 7</w:t>
      </w:r>
      <w:r w:rsidRPr="00C83885">
        <w:rPr>
          <w:lang w:eastAsia="ko-KR"/>
        </w:rPr>
        <w:t xml:space="preserve"> show the PER performance results for </w:t>
      </w:r>
      <w:r>
        <w:rPr>
          <w:lang w:eastAsia="ko-KR"/>
        </w:rPr>
        <w:t>VDE-TER Link ID</w:t>
      </w:r>
      <w:r w:rsidRPr="00C83885">
        <w:rPr>
          <w:lang w:eastAsia="ko-KR"/>
        </w:rPr>
        <w:t xml:space="preserve"> </w:t>
      </w:r>
      <w:r>
        <w:rPr>
          <w:lang w:eastAsia="ko-KR"/>
        </w:rPr>
        <w:t>17</w:t>
      </w:r>
      <w:r w:rsidRPr="00C83885">
        <w:rPr>
          <w:lang w:eastAsia="ko-KR"/>
        </w:rPr>
        <w:t xml:space="preserve"> when frequency offsets of 250 Hz and 500 Hz are given, respectively, under normal conditions.</w:t>
      </w:r>
    </w:p>
    <w:p w14:paraId="2B5E10CC" w14:textId="77777777" w:rsidR="00A66DB3" w:rsidRPr="000609E2" w:rsidRDefault="00A66DB3" w:rsidP="00A66DB3">
      <w:pPr>
        <w:pStyle w:val="BodyText"/>
        <w:rPr>
          <w:lang w:eastAsia="ko-K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791"/>
      </w:tblGrid>
      <w:tr w:rsidR="00A66DB3" w14:paraId="268650A2" w14:textId="77777777" w:rsidTr="00955C29">
        <w:tc>
          <w:tcPr>
            <w:tcW w:w="4837" w:type="dxa"/>
            <w:vAlign w:val="bottom"/>
          </w:tcPr>
          <w:p w14:paraId="52B71C2E" w14:textId="77777777" w:rsidR="00A66DB3" w:rsidRPr="00027AA1" w:rsidRDefault="00027AA1" w:rsidP="00955C29">
            <w:pPr>
              <w:pStyle w:val="BodyText"/>
              <w:jc w:val="center"/>
              <w:rPr>
                <w:lang w:eastAsia="ko-KR"/>
              </w:rPr>
            </w:pPr>
            <w:r w:rsidRPr="00027AA1">
              <w:rPr>
                <w:noProof/>
                <w:lang w:val="en-US" w:eastAsia="ko-KR"/>
              </w:rPr>
              <w:drawing>
                <wp:inline distT="0" distB="0" distL="0" distR="0" wp14:anchorId="2819065C" wp14:editId="6315C738">
                  <wp:extent cx="2758440" cy="2164080"/>
                  <wp:effectExtent l="0" t="0" r="0" b="0"/>
                  <wp:docPr id="5"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58440" cy="2164080"/>
                          </a:xfrm>
                          <a:prstGeom prst="rect">
                            <a:avLst/>
                          </a:prstGeom>
                          <a:noFill/>
                          <a:ln>
                            <a:noFill/>
                          </a:ln>
                        </pic:spPr>
                      </pic:pic>
                    </a:graphicData>
                  </a:graphic>
                </wp:inline>
              </w:drawing>
            </w:r>
          </w:p>
          <w:p w14:paraId="55C0E1C8" w14:textId="77777777" w:rsidR="00A66DB3" w:rsidRDefault="00A66DB3" w:rsidP="00955C29">
            <w:pPr>
              <w:pStyle w:val="BodyText"/>
              <w:jc w:val="center"/>
              <w:rPr>
                <w:lang w:eastAsia="ko-KR"/>
              </w:rPr>
            </w:pPr>
            <w:r>
              <w:rPr>
                <w:rFonts w:hint="eastAsia"/>
                <w:lang w:eastAsia="ko-KR"/>
              </w:rPr>
              <w:t>(a)</w:t>
            </w:r>
            <w:r>
              <w:rPr>
                <w:lang w:eastAsia="ko-KR"/>
              </w:rPr>
              <w:t xml:space="preserve"> Carrier Frequency Offset: 25</w:t>
            </w:r>
            <w:r w:rsidRPr="00941175">
              <w:rPr>
                <w:lang w:eastAsia="ko-KR"/>
              </w:rPr>
              <w:t>0Hz</w:t>
            </w:r>
          </w:p>
        </w:tc>
        <w:tc>
          <w:tcPr>
            <w:tcW w:w="4791" w:type="dxa"/>
            <w:vAlign w:val="bottom"/>
          </w:tcPr>
          <w:p w14:paraId="63A2A406" w14:textId="77777777" w:rsidR="00A66DB3" w:rsidRDefault="00027AA1" w:rsidP="00955C29">
            <w:pPr>
              <w:pStyle w:val="BodyText"/>
              <w:jc w:val="center"/>
              <w:rPr>
                <w:lang w:eastAsia="ko-KR"/>
              </w:rPr>
            </w:pPr>
            <w:r w:rsidRPr="00027AA1">
              <w:rPr>
                <w:noProof/>
                <w:lang w:val="en-US" w:eastAsia="ko-KR"/>
              </w:rPr>
              <w:drawing>
                <wp:inline distT="0" distB="0" distL="0" distR="0" wp14:anchorId="55889A57" wp14:editId="7495E421">
                  <wp:extent cx="2753360" cy="2159000"/>
                  <wp:effectExtent l="0" t="0" r="0"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53360" cy="2159000"/>
                          </a:xfrm>
                          <a:prstGeom prst="rect">
                            <a:avLst/>
                          </a:prstGeom>
                          <a:noFill/>
                          <a:ln>
                            <a:noFill/>
                          </a:ln>
                        </pic:spPr>
                      </pic:pic>
                    </a:graphicData>
                  </a:graphic>
                </wp:inline>
              </w:drawing>
            </w:r>
          </w:p>
          <w:p w14:paraId="717B695F" w14:textId="77777777" w:rsidR="00A66DB3" w:rsidRDefault="00A66DB3" w:rsidP="00955C29">
            <w:pPr>
              <w:pStyle w:val="BodyText"/>
              <w:jc w:val="center"/>
              <w:rPr>
                <w:lang w:eastAsia="ko-KR"/>
              </w:rPr>
            </w:pPr>
            <w:r>
              <w:rPr>
                <w:rFonts w:hint="eastAsia"/>
                <w:lang w:eastAsia="ko-KR"/>
              </w:rPr>
              <w:t>(b)</w:t>
            </w:r>
            <w:r>
              <w:rPr>
                <w:lang w:eastAsia="ko-KR"/>
              </w:rPr>
              <w:t xml:space="preserve"> Carrier Frequency Offset: 500Hz</w:t>
            </w:r>
          </w:p>
        </w:tc>
      </w:tr>
    </w:tbl>
    <w:p w14:paraId="09D018B8" w14:textId="77777777" w:rsidR="00A66DB3" w:rsidRPr="00577104" w:rsidRDefault="00A66DB3" w:rsidP="00A66DB3">
      <w:pPr>
        <w:pStyle w:val="Caption"/>
        <w:jc w:val="center"/>
        <w:rPr>
          <w:lang w:eastAsia="ko-KR"/>
        </w:rPr>
      </w:pPr>
      <w:r>
        <w:t xml:space="preserve">Figure </w:t>
      </w:r>
      <w:r>
        <w:rPr>
          <w:noProof/>
        </w:rPr>
        <w:fldChar w:fldCharType="begin"/>
      </w:r>
      <w:r>
        <w:rPr>
          <w:noProof/>
        </w:rPr>
        <w:instrText xml:space="preserve"> SEQ Figure \* ARABIC </w:instrText>
      </w:r>
      <w:r>
        <w:rPr>
          <w:noProof/>
        </w:rPr>
        <w:fldChar w:fldCharType="separate"/>
      </w:r>
      <w:r w:rsidR="00027AA1">
        <w:rPr>
          <w:noProof/>
        </w:rPr>
        <w:t>5</w:t>
      </w:r>
      <w:r>
        <w:rPr>
          <w:noProof/>
        </w:rPr>
        <w:fldChar w:fldCharType="end"/>
      </w:r>
      <w:r>
        <w:t xml:space="preserve"> P</w:t>
      </w:r>
      <w:r w:rsidRPr="00577104">
        <w:t>ER Performance with CR</w:t>
      </w:r>
      <w:r>
        <w:t xml:space="preserve"> under Carrier Frequency </w:t>
      </w:r>
      <w:r>
        <w:rPr>
          <w:lang w:eastAsia="ko-KR"/>
        </w:rPr>
        <w:t>Offset (VDE-TER Link ID 1</w:t>
      </w:r>
      <w:r w:rsidR="00955C29">
        <w:rPr>
          <w:lang w:eastAsia="ko-KR"/>
        </w:rPr>
        <w:t>7</w:t>
      </w:r>
      <w:r>
        <w:rPr>
          <w:lang w:eastAsia="ko-KR"/>
        </w:rPr>
        <w:t>)</w:t>
      </w:r>
    </w:p>
    <w:p w14:paraId="0F50F15C" w14:textId="77777777" w:rsidR="00A66DB3" w:rsidRDefault="00A66DB3" w:rsidP="00A66DB3">
      <w:pPr>
        <w:pStyle w:val="BodyText"/>
        <w:rPr>
          <w:lang w:eastAsia="ko-KR"/>
        </w:rPr>
      </w:pPr>
    </w:p>
    <w:p w14:paraId="2F4817D6" w14:textId="77777777" w:rsidR="00A66DB3" w:rsidRDefault="00A66DB3" w:rsidP="00A66DB3">
      <w:pPr>
        <w:pStyle w:val="Caption"/>
        <w:keepNext/>
        <w:jc w:val="center"/>
      </w:pPr>
      <w:r>
        <w:t xml:space="preserve">Table </w:t>
      </w:r>
      <w:r>
        <w:rPr>
          <w:noProof/>
        </w:rPr>
        <w:fldChar w:fldCharType="begin"/>
      </w:r>
      <w:r>
        <w:rPr>
          <w:noProof/>
        </w:rPr>
        <w:instrText xml:space="preserve"> SEQ Table \* ARABIC </w:instrText>
      </w:r>
      <w:r>
        <w:rPr>
          <w:noProof/>
        </w:rPr>
        <w:fldChar w:fldCharType="separate"/>
      </w:r>
      <w:r w:rsidR="00027AA1">
        <w:rPr>
          <w:noProof/>
        </w:rPr>
        <w:t>7</w:t>
      </w:r>
      <w:r>
        <w:rPr>
          <w:noProof/>
        </w:rPr>
        <w:fldChar w:fldCharType="end"/>
      </w:r>
      <w:r>
        <w:t xml:space="preserve"> P</w:t>
      </w:r>
      <w:r>
        <w:rPr>
          <w:rFonts w:hint="eastAsia"/>
          <w:lang w:eastAsia="ko-KR"/>
        </w:rPr>
        <w:t>ER Performance with C</w:t>
      </w:r>
      <w:r>
        <w:rPr>
          <w:lang w:eastAsia="ko-KR"/>
        </w:rPr>
        <w:t xml:space="preserve">arrier </w:t>
      </w:r>
      <w:r>
        <w:rPr>
          <w:rFonts w:hint="eastAsia"/>
          <w:lang w:eastAsia="ko-KR"/>
        </w:rPr>
        <w:t>R</w:t>
      </w:r>
      <w:r>
        <w:rPr>
          <w:lang w:eastAsia="ko-KR"/>
        </w:rPr>
        <w:t>ecovery (VDE-TER Link ID 1</w:t>
      </w:r>
      <w:r w:rsidR="00955C29">
        <w:rPr>
          <w:lang w:eastAsia="ko-KR"/>
        </w:rPr>
        <w:t>7</w:t>
      </w:r>
      <w:r>
        <w:rPr>
          <w:lang w:eastAsia="ko-KR"/>
        </w:rPr>
        <w:t>)</w:t>
      </w:r>
    </w:p>
    <w:tbl>
      <w:tblPr>
        <w:tblW w:w="8251" w:type="dxa"/>
        <w:jc w:val="center"/>
        <w:tblCellMar>
          <w:left w:w="0" w:type="dxa"/>
          <w:right w:w="0" w:type="dxa"/>
        </w:tblCellMar>
        <w:tblLook w:val="04A0" w:firstRow="1" w:lastRow="0" w:firstColumn="1" w:lastColumn="0" w:noHBand="0" w:noVBand="1"/>
      </w:tblPr>
      <w:tblGrid>
        <w:gridCol w:w="2665"/>
        <w:gridCol w:w="1916"/>
        <w:gridCol w:w="1892"/>
        <w:gridCol w:w="1778"/>
      </w:tblGrid>
      <w:tr w:rsidR="00A66DB3" w:rsidRPr="00E42FFF" w14:paraId="4EEB7257" w14:textId="77777777" w:rsidTr="00955C29">
        <w:trPr>
          <w:trHeight w:val="20"/>
          <w:jc w:val="center"/>
        </w:trPr>
        <w:tc>
          <w:tcPr>
            <w:tcW w:w="2665" w:type="dxa"/>
            <w:vMerge w:val="restart"/>
            <w:tcBorders>
              <w:top w:val="single" w:sz="8" w:space="0" w:color="BFBFBF"/>
              <w:left w:val="single" w:sz="8" w:space="0" w:color="BFBFBF"/>
              <w:right w:val="single" w:sz="8" w:space="0" w:color="BFBFBF"/>
            </w:tcBorders>
            <w:shd w:val="clear" w:color="auto" w:fill="F2F2F2"/>
            <w:vAlign w:val="center"/>
          </w:tcPr>
          <w:p w14:paraId="7BC7362B" w14:textId="77777777" w:rsidR="00A66DB3" w:rsidRPr="00A86189" w:rsidRDefault="00A66DB3" w:rsidP="00955C29">
            <w:pPr>
              <w:pStyle w:val="TableParagraph"/>
              <w:spacing w:before="0"/>
              <w:ind w:left="57"/>
              <w:jc w:val="center"/>
              <w:rPr>
                <w:sz w:val="20"/>
                <w:szCs w:val="20"/>
              </w:rPr>
            </w:pPr>
            <w:r w:rsidRPr="00A86189">
              <w:rPr>
                <w:sz w:val="20"/>
                <w:szCs w:val="20"/>
              </w:rPr>
              <w:t xml:space="preserve">Link ID </w:t>
            </w:r>
            <w:r>
              <w:rPr>
                <w:sz w:val="20"/>
                <w:szCs w:val="20"/>
              </w:rPr>
              <w:t>1</w:t>
            </w:r>
            <w:r w:rsidR="00027AA1">
              <w:rPr>
                <w:sz w:val="20"/>
                <w:szCs w:val="20"/>
              </w:rPr>
              <w:t>7</w:t>
            </w:r>
          </w:p>
          <w:p w14:paraId="24761020"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w:t>
            </w:r>
            <w:r w:rsidR="00027AA1">
              <w:rPr>
                <w:sz w:val="20"/>
                <w:szCs w:val="20"/>
              </w:rPr>
              <w:t>1/2</w:t>
            </w:r>
            <w:r>
              <w:rPr>
                <w:sz w:val="20"/>
                <w:szCs w:val="20"/>
              </w:rPr>
              <w:t xml:space="preserve"> </w:t>
            </w:r>
            <w:r w:rsidRPr="00A86189">
              <w:rPr>
                <w:rFonts w:hint="eastAsia"/>
                <w:sz w:val="20"/>
                <w:szCs w:val="20"/>
              </w:rPr>
              <w:t>π</w:t>
            </w:r>
            <w:r>
              <w:rPr>
                <w:rFonts w:hint="eastAsia"/>
                <w:sz w:val="20"/>
                <w:szCs w:val="20"/>
              </w:rPr>
              <w:t>/4-QPSK</w:t>
            </w:r>
            <w:r w:rsidRPr="00A86189">
              <w:rPr>
                <w:rFonts w:hint="eastAsia"/>
                <w:sz w:val="20"/>
                <w:szCs w:val="20"/>
              </w:rPr>
              <w:t>)</w:t>
            </w:r>
          </w:p>
        </w:tc>
        <w:tc>
          <w:tcPr>
            <w:tcW w:w="1916" w:type="dxa"/>
            <w:vMerge w:val="restart"/>
            <w:tcBorders>
              <w:top w:val="single" w:sz="8" w:space="0" w:color="BFBFBF"/>
              <w:left w:val="single" w:sz="8" w:space="0" w:color="BFBFBF"/>
              <w:right w:val="single" w:sz="8" w:space="0" w:color="BFBFBF"/>
            </w:tcBorders>
            <w:shd w:val="clear" w:color="auto" w:fill="F2F2F2"/>
            <w:tcMar>
              <w:top w:w="45" w:type="dxa"/>
              <w:left w:w="144" w:type="dxa"/>
              <w:bottom w:w="45" w:type="dxa"/>
              <w:right w:w="144" w:type="dxa"/>
            </w:tcMar>
            <w:vAlign w:val="center"/>
          </w:tcPr>
          <w:p w14:paraId="605562E1"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with Coherent</w:t>
            </w:r>
          </w:p>
          <w:p w14:paraId="46BF47FA"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Ideal sync.</w:t>
            </w:r>
          </w:p>
        </w:tc>
        <w:tc>
          <w:tcPr>
            <w:tcW w:w="3670" w:type="dxa"/>
            <w:gridSpan w:val="2"/>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33390D6D" w14:textId="77777777" w:rsidR="00A66DB3" w:rsidRPr="00A86189" w:rsidRDefault="00A66DB3" w:rsidP="00955C29">
            <w:pPr>
              <w:pStyle w:val="TableParagraph"/>
              <w:spacing w:before="0"/>
              <w:ind w:left="57"/>
              <w:jc w:val="center"/>
              <w:rPr>
                <w:sz w:val="20"/>
                <w:szCs w:val="20"/>
              </w:rPr>
            </w:pPr>
            <w:r w:rsidRPr="00A86189">
              <w:rPr>
                <w:sz w:val="20"/>
                <w:szCs w:val="20"/>
              </w:rPr>
              <w:t>Carrier Frequency Offset</w:t>
            </w:r>
          </w:p>
          <w:p w14:paraId="2EC4CCA4"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 xml:space="preserve">with </w:t>
            </w:r>
            <w:r w:rsidRPr="00A86189">
              <w:rPr>
                <w:sz w:val="20"/>
                <w:szCs w:val="20"/>
              </w:rPr>
              <w:t xml:space="preserve"> </w:t>
            </w:r>
            <w:r w:rsidRPr="00A86189">
              <w:rPr>
                <w:rFonts w:hint="eastAsia"/>
                <w:sz w:val="20"/>
                <w:szCs w:val="20"/>
              </w:rPr>
              <w:t>General C</w:t>
            </w:r>
            <w:r w:rsidRPr="00A86189">
              <w:rPr>
                <w:sz w:val="20"/>
                <w:szCs w:val="20"/>
              </w:rPr>
              <w:t>R</w:t>
            </w:r>
          </w:p>
        </w:tc>
      </w:tr>
      <w:tr w:rsidR="00A66DB3" w:rsidRPr="00E42FFF" w14:paraId="5D0641E1" w14:textId="77777777" w:rsidTr="00955C29">
        <w:trPr>
          <w:trHeight w:val="20"/>
          <w:jc w:val="center"/>
        </w:trPr>
        <w:tc>
          <w:tcPr>
            <w:tcW w:w="2665" w:type="dxa"/>
            <w:vMerge/>
            <w:tcBorders>
              <w:left w:val="single" w:sz="8" w:space="0" w:color="BFBFBF"/>
              <w:bottom w:val="single" w:sz="8" w:space="0" w:color="BFBFBF"/>
              <w:right w:val="single" w:sz="8" w:space="0" w:color="BFBFBF"/>
            </w:tcBorders>
            <w:shd w:val="clear" w:color="auto" w:fill="F2F2F2"/>
            <w:vAlign w:val="center"/>
          </w:tcPr>
          <w:p w14:paraId="398E4760" w14:textId="77777777" w:rsidR="00A66DB3" w:rsidRPr="00A86189" w:rsidRDefault="00A66DB3" w:rsidP="00955C29">
            <w:pPr>
              <w:pStyle w:val="TableParagraph"/>
              <w:spacing w:before="0"/>
              <w:ind w:left="57"/>
              <w:jc w:val="center"/>
              <w:rPr>
                <w:sz w:val="20"/>
                <w:szCs w:val="20"/>
              </w:rPr>
            </w:pPr>
          </w:p>
        </w:tc>
        <w:tc>
          <w:tcPr>
            <w:tcW w:w="1916" w:type="dxa"/>
            <w:vMerge/>
            <w:tcBorders>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tcPr>
          <w:p w14:paraId="22550A90" w14:textId="77777777" w:rsidR="00A66DB3" w:rsidRPr="00A86189" w:rsidRDefault="00A66DB3" w:rsidP="00955C29">
            <w:pPr>
              <w:pStyle w:val="TableParagraph"/>
              <w:spacing w:before="0"/>
              <w:ind w:left="57"/>
              <w:jc w:val="center"/>
              <w:rPr>
                <w:sz w:val="20"/>
                <w:szCs w:val="20"/>
              </w:rPr>
            </w:pPr>
          </w:p>
        </w:tc>
        <w:tc>
          <w:tcPr>
            <w:tcW w:w="1892"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3383043D" w14:textId="77777777" w:rsidR="00A66DB3" w:rsidRPr="00A86189" w:rsidRDefault="00496491" w:rsidP="00496491">
            <w:pPr>
              <w:pStyle w:val="TableParagraph"/>
              <w:spacing w:before="0"/>
              <w:ind w:left="57"/>
              <w:jc w:val="center"/>
              <w:rPr>
                <w:sz w:val="20"/>
                <w:szCs w:val="20"/>
              </w:rPr>
            </w:pPr>
            <w:r>
              <w:rPr>
                <w:sz w:val="20"/>
                <w:szCs w:val="20"/>
              </w:rPr>
              <w:t>25</w:t>
            </w:r>
            <w:r w:rsidR="00A66DB3">
              <w:rPr>
                <w:sz w:val="20"/>
                <w:szCs w:val="20"/>
              </w:rPr>
              <w:t>0</w:t>
            </w:r>
            <w:r w:rsidR="00A66DB3" w:rsidRPr="00A86189">
              <w:rPr>
                <w:sz w:val="20"/>
                <w:szCs w:val="20"/>
              </w:rPr>
              <w:t>Hz</w:t>
            </w:r>
          </w:p>
        </w:tc>
        <w:tc>
          <w:tcPr>
            <w:tcW w:w="1778"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44466E67" w14:textId="77777777" w:rsidR="00A66DB3" w:rsidRPr="00A86189" w:rsidRDefault="00496491" w:rsidP="00496491">
            <w:pPr>
              <w:pStyle w:val="TableParagraph"/>
              <w:spacing w:before="0"/>
              <w:ind w:left="57"/>
              <w:jc w:val="center"/>
              <w:rPr>
                <w:sz w:val="20"/>
                <w:szCs w:val="20"/>
              </w:rPr>
            </w:pPr>
            <w:r>
              <w:rPr>
                <w:sz w:val="20"/>
                <w:szCs w:val="20"/>
              </w:rPr>
              <w:t>500</w:t>
            </w:r>
            <w:r w:rsidR="00A66DB3" w:rsidRPr="00A86189">
              <w:rPr>
                <w:sz w:val="20"/>
                <w:szCs w:val="20"/>
              </w:rPr>
              <w:t>Hz</w:t>
            </w:r>
          </w:p>
        </w:tc>
      </w:tr>
      <w:tr w:rsidR="00A66DB3" w:rsidRPr="00E42FFF" w14:paraId="1DF51B19" w14:textId="77777777" w:rsidTr="00955C29">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541A341F"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Required SNR[dB]</w:t>
            </w:r>
          </w:p>
          <w:p w14:paraId="0C4E6BDF"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 xml:space="preserve">@ </w:t>
            </w:r>
            <w:r w:rsidRPr="00A86189">
              <w:rPr>
                <w:sz w:val="20"/>
                <w:szCs w:val="20"/>
              </w:rPr>
              <w:t xml:space="preserve">PER </w:t>
            </w:r>
            <w:r>
              <w:rPr>
                <w:sz w:val="20"/>
                <w:szCs w:val="20"/>
              </w:rPr>
              <w:t>1</w:t>
            </w:r>
            <w:r w:rsidRPr="00A86189">
              <w:rPr>
                <w:sz w:val="20"/>
                <w:szCs w:val="20"/>
              </w:rPr>
              <w:t>%</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378CFEFD" w14:textId="77777777" w:rsidR="00A66DB3" w:rsidRPr="00A86189" w:rsidRDefault="00027AA1" w:rsidP="00955C29">
            <w:pPr>
              <w:pStyle w:val="TableParagraph"/>
              <w:spacing w:before="0"/>
              <w:ind w:left="57"/>
              <w:jc w:val="center"/>
              <w:rPr>
                <w:sz w:val="20"/>
                <w:szCs w:val="20"/>
              </w:rPr>
            </w:pPr>
            <w:r>
              <w:rPr>
                <w:sz w:val="20"/>
                <w:szCs w:val="20"/>
              </w:rPr>
              <w:t>1.5</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371EF37F" w14:textId="77777777" w:rsidR="00A66DB3" w:rsidRPr="00A66DB3" w:rsidRDefault="00A66DB3" w:rsidP="00027AA1">
            <w:pPr>
              <w:pStyle w:val="TableParagraph"/>
              <w:spacing w:before="0"/>
              <w:ind w:left="57"/>
              <w:jc w:val="center"/>
              <w:rPr>
                <w:rFonts w:eastAsiaTheme="minorEastAsia"/>
                <w:sz w:val="20"/>
                <w:szCs w:val="20"/>
                <w:lang w:eastAsia="ko-KR"/>
              </w:rPr>
            </w:pPr>
            <w:r>
              <w:rPr>
                <w:rFonts w:eastAsiaTheme="minorEastAsia" w:hint="eastAsia"/>
                <w:sz w:val="20"/>
                <w:szCs w:val="20"/>
                <w:lang w:eastAsia="ko-KR"/>
              </w:rPr>
              <w:t>7.</w:t>
            </w:r>
            <w:r w:rsidR="00027AA1">
              <w:rPr>
                <w:rFonts w:eastAsiaTheme="minorEastAsia"/>
                <w:sz w:val="20"/>
                <w:szCs w:val="20"/>
                <w:lang w:eastAsia="ko-KR"/>
              </w:rPr>
              <w:t>5</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397022D5" w14:textId="77777777" w:rsidR="00A66DB3" w:rsidRPr="00A86189" w:rsidRDefault="00A66DB3" w:rsidP="00027AA1">
            <w:pPr>
              <w:pStyle w:val="TableParagraph"/>
              <w:spacing w:before="0"/>
              <w:ind w:left="57"/>
              <w:jc w:val="center"/>
              <w:rPr>
                <w:sz w:val="20"/>
                <w:szCs w:val="20"/>
              </w:rPr>
            </w:pPr>
            <w:r>
              <w:rPr>
                <w:sz w:val="20"/>
                <w:szCs w:val="20"/>
              </w:rPr>
              <w:t>7.</w:t>
            </w:r>
            <w:r w:rsidR="00027AA1">
              <w:rPr>
                <w:sz w:val="20"/>
                <w:szCs w:val="20"/>
              </w:rPr>
              <w:t>5</w:t>
            </w:r>
          </w:p>
        </w:tc>
      </w:tr>
      <w:tr w:rsidR="00A66DB3" w:rsidRPr="00E42FFF" w14:paraId="674FDE60" w14:textId="77777777" w:rsidTr="00955C29">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5F1D6020" w14:textId="77777777" w:rsidR="00A66DB3" w:rsidRPr="00A86189" w:rsidRDefault="00A66DB3" w:rsidP="00955C29">
            <w:pPr>
              <w:pStyle w:val="TableParagraph"/>
              <w:spacing w:before="0"/>
              <w:ind w:left="57"/>
              <w:jc w:val="center"/>
              <w:rPr>
                <w:sz w:val="20"/>
                <w:szCs w:val="20"/>
              </w:rPr>
            </w:pPr>
            <w:r w:rsidRPr="00A86189">
              <w:rPr>
                <w:sz w:val="20"/>
                <w:szCs w:val="20"/>
              </w:rPr>
              <w:t xml:space="preserve">Performance degradation </w:t>
            </w:r>
            <w:r w:rsidRPr="00A86189">
              <w:rPr>
                <w:rFonts w:hint="eastAsia"/>
                <w:sz w:val="20"/>
                <w:szCs w:val="20"/>
              </w:rPr>
              <w:t>with CR via ideal sync.</w:t>
            </w:r>
          </w:p>
          <w:p w14:paraId="04FDA7DC"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w:t>
            </w:r>
            <w:r w:rsidRPr="00A86189">
              <w:rPr>
                <w:sz w:val="20"/>
                <w:szCs w:val="20"/>
              </w:rPr>
              <w:t xml:space="preserve">Gap </w:t>
            </w:r>
            <w:r w:rsidRPr="00A86189">
              <w:rPr>
                <w:rFonts w:hint="eastAsia"/>
                <w:sz w:val="20"/>
                <w:szCs w:val="20"/>
              </w:rPr>
              <w:t>for</w:t>
            </w:r>
            <w:r w:rsidRPr="00A86189">
              <w:rPr>
                <w:sz w:val="20"/>
                <w:szCs w:val="20"/>
              </w:rPr>
              <w:t xml:space="preserve"> required </w:t>
            </w:r>
            <w:r w:rsidRPr="00A86189">
              <w:rPr>
                <w:rFonts w:hint="eastAsia"/>
                <w:sz w:val="20"/>
                <w:szCs w:val="20"/>
              </w:rPr>
              <w:t>SNR)</w:t>
            </w:r>
          </w:p>
          <w:p w14:paraId="121D5C8B"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[dB]</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0B740E20" w14:textId="77777777" w:rsidR="00A66DB3" w:rsidRPr="00A86189" w:rsidRDefault="00A66DB3" w:rsidP="00955C29">
            <w:pPr>
              <w:pStyle w:val="TableParagraph"/>
              <w:spacing w:before="0"/>
              <w:ind w:left="57"/>
              <w:jc w:val="center"/>
              <w:rPr>
                <w:sz w:val="20"/>
                <w:szCs w:val="20"/>
              </w:rPr>
            </w:pPr>
            <w:r w:rsidRPr="00A86189">
              <w:rPr>
                <w:rFonts w:hint="eastAsia"/>
                <w:sz w:val="20"/>
                <w:szCs w:val="20"/>
              </w:rPr>
              <w:t>-</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E4E9BFE" w14:textId="77777777" w:rsidR="00A66DB3" w:rsidRPr="004855DA" w:rsidRDefault="00A66DB3" w:rsidP="00955C29">
            <w:pPr>
              <w:pStyle w:val="TableParagraph"/>
              <w:spacing w:before="0"/>
              <w:ind w:left="57"/>
              <w:jc w:val="center"/>
              <w:rPr>
                <w:rFonts w:eastAsiaTheme="minorEastAsia"/>
                <w:sz w:val="20"/>
                <w:szCs w:val="20"/>
                <w:lang w:eastAsia="ko-KR"/>
              </w:rPr>
            </w:pPr>
            <w:r>
              <w:rPr>
                <w:rFonts w:eastAsiaTheme="minorEastAsia"/>
                <w:sz w:val="20"/>
                <w:szCs w:val="20"/>
                <w:lang w:eastAsia="ko-KR"/>
              </w:rPr>
              <w:t>c</w:t>
            </w:r>
            <w:r>
              <w:rPr>
                <w:rFonts w:eastAsiaTheme="minorEastAsia" w:hint="eastAsia"/>
                <w:sz w:val="20"/>
                <w:szCs w:val="20"/>
                <w:lang w:eastAsia="ko-KR"/>
              </w:rPr>
              <w:t>a.</w:t>
            </w:r>
            <w:r w:rsidR="00027AA1">
              <w:rPr>
                <w:rFonts w:eastAsiaTheme="minorEastAsia"/>
                <w:sz w:val="20"/>
                <w:szCs w:val="20"/>
                <w:lang w:eastAsia="ko-KR"/>
              </w:rPr>
              <w:t xml:space="preserve"> 6.0</w:t>
            </w:r>
            <w:r>
              <w:rPr>
                <w:rFonts w:eastAsiaTheme="minorEastAsia"/>
                <w:sz w:val="20"/>
                <w:szCs w:val="20"/>
                <w:lang w:eastAsia="ko-KR"/>
              </w:rPr>
              <w:t>dB</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28C34C39" w14:textId="77777777" w:rsidR="00A66DB3" w:rsidRPr="00A86189" w:rsidRDefault="00A66DB3" w:rsidP="00955C29">
            <w:pPr>
              <w:pStyle w:val="TableParagraph"/>
              <w:spacing w:before="0"/>
              <w:ind w:left="57"/>
              <w:jc w:val="center"/>
              <w:rPr>
                <w:sz w:val="20"/>
                <w:szCs w:val="20"/>
                <w:lang w:eastAsia="ko-KR"/>
              </w:rPr>
            </w:pPr>
            <w:r>
              <w:rPr>
                <w:rFonts w:eastAsiaTheme="minorEastAsia"/>
                <w:sz w:val="20"/>
                <w:szCs w:val="20"/>
                <w:lang w:eastAsia="ko-KR"/>
              </w:rPr>
              <w:t>c</w:t>
            </w:r>
            <w:r>
              <w:rPr>
                <w:rFonts w:eastAsiaTheme="minorEastAsia" w:hint="eastAsia"/>
                <w:sz w:val="20"/>
                <w:szCs w:val="20"/>
                <w:lang w:eastAsia="ko-KR"/>
              </w:rPr>
              <w:t>a.</w:t>
            </w:r>
            <w:r w:rsidR="00027AA1">
              <w:rPr>
                <w:rFonts w:eastAsiaTheme="minorEastAsia"/>
                <w:sz w:val="20"/>
                <w:szCs w:val="20"/>
                <w:lang w:eastAsia="ko-KR"/>
              </w:rPr>
              <w:t xml:space="preserve"> 6.0</w:t>
            </w:r>
            <w:r>
              <w:rPr>
                <w:rFonts w:eastAsiaTheme="minorEastAsia"/>
                <w:sz w:val="20"/>
                <w:szCs w:val="20"/>
                <w:lang w:eastAsia="ko-KR"/>
              </w:rPr>
              <w:t>dB</w:t>
            </w:r>
          </w:p>
        </w:tc>
      </w:tr>
    </w:tbl>
    <w:p w14:paraId="7E130780" w14:textId="77777777" w:rsidR="00A66DB3" w:rsidRDefault="00A66DB3" w:rsidP="00A66DB3">
      <w:pPr>
        <w:pStyle w:val="BodyText"/>
        <w:rPr>
          <w:lang w:eastAsia="ko-KR"/>
        </w:rPr>
      </w:pPr>
    </w:p>
    <w:p w14:paraId="3B13B8A7" w14:textId="77777777" w:rsidR="0088634E" w:rsidRDefault="0088634E" w:rsidP="00387D06">
      <w:pPr>
        <w:pStyle w:val="BodyText"/>
        <w:rPr>
          <w:lang w:eastAsia="ko-KR"/>
        </w:rPr>
      </w:pPr>
      <w:r w:rsidRPr="0088634E">
        <w:rPr>
          <w:lang w:eastAsia="ko-KR"/>
        </w:rPr>
        <w:t>Figure 4 and Table 6 (for Link ID 11), Figure 5 and Table 7 (for Link ID 17) show the result confirmed by simulating the required SNR to satisfy PER 1% performance under normal conditions when frequency offsets of respectively 250Hz and 500Hz are given.</w:t>
      </w:r>
    </w:p>
    <w:p w14:paraId="7E9FC1F2" w14:textId="77777777" w:rsidR="007D475C" w:rsidRDefault="007D475C" w:rsidP="007D475C">
      <w:pPr>
        <w:pStyle w:val="BodyText"/>
        <w:rPr>
          <w:lang w:eastAsia="ko-KR"/>
        </w:rPr>
      </w:pPr>
      <w:r>
        <w:rPr>
          <w:lang w:eastAsia="ko-KR"/>
        </w:rPr>
        <w:t>In spite of using the frequency recovery algorithm, it was confirmed that the SNR required for PER 1% degraded by about 5.8dB and about 6.0dB, respectively, compared to coherent ideal synchronization.</w:t>
      </w:r>
    </w:p>
    <w:p w14:paraId="51E0549A" w14:textId="77777777" w:rsidR="0088634E" w:rsidRDefault="007D475C" w:rsidP="007D475C">
      <w:pPr>
        <w:pStyle w:val="BodyText"/>
        <w:rPr>
          <w:lang w:eastAsia="ko-KR"/>
        </w:rPr>
      </w:pPr>
      <w:r>
        <w:rPr>
          <w:lang w:eastAsia="ko-KR"/>
        </w:rPr>
        <w:t>Such performance degradation occurs due to a malfunction of the CR algorithm during frequency offset processing at low SNR. This is because the SNR range in which the receiver operates is lowered due to the low FEC code rate (1/2), whereas the CR algorithm generally operates more effectively at a relatively high SNR.</w:t>
      </w:r>
    </w:p>
    <w:p w14:paraId="261A832B" w14:textId="77777777" w:rsidR="0088634E" w:rsidRDefault="007D475C" w:rsidP="00387D06">
      <w:pPr>
        <w:pStyle w:val="BodyText"/>
        <w:rPr>
          <w:lang w:eastAsia="ko-KR"/>
        </w:rPr>
      </w:pPr>
      <w:r w:rsidRPr="007D475C">
        <w:rPr>
          <w:lang w:eastAsia="ko-KR"/>
        </w:rPr>
        <w:t xml:space="preserve">Therefore, if the ASM test specification in Table 3 is applied to Link ID 11 and 17 as it is, degradation exceeding the 3dB margin of the test specification occurs, so that the required result of the test specification cannot be </w:t>
      </w:r>
      <w:r w:rsidRPr="007D475C">
        <w:rPr>
          <w:lang w:eastAsia="ko-KR"/>
        </w:rPr>
        <w:lastRenderedPageBreak/>
        <w:t>satisfied. In other words, in the case of Link ID 11 and 17, it is expected that it will be difficult to satisfy the receiver sensitivity requirements if the same requirements as for ASM receivers are applied.</w:t>
      </w:r>
    </w:p>
    <w:p w14:paraId="6226DFB0" w14:textId="77777777" w:rsidR="0088634E" w:rsidRDefault="0088634E" w:rsidP="00387D06">
      <w:pPr>
        <w:pStyle w:val="BodyText"/>
        <w:rPr>
          <w:lang w:eastAsia="ko-KR"/>
        </w:rPr>
      </w:pPr>
    </w:p>
    <w:p w14:paraId="08603F54" w14:textId="77777777" w:rsidR="000609E2" w:rsidRDefault="000609E2" w:rsidP="000609E2">
      <w:pPr>
        <w:pStyle w:val="BodyText"/>
        <w:rPr>
          <w:lang w:eastAsia="ko-KR"/>
        </w:rPr>
      </w:pPr>
      <w:r>
        <w:rPr>
          <w:lang w:eastAsia="ko-KR"/>
        </w:rPr>
        <w:t>Figure 6 and Table 8</w:t>
      </w:r>
      <w:r w:rsidRPr="00C83885">
        <w:rPr>
          <w:lang w:eastAsia="ko-KR"/>
        </w:rPr>
        <w:t xml:space="preserve"> show the PER performance results for </w:t>
      </w:r>
      <w:r>
        <w:rPr>
          <w:lang w:eastAsia="ko-KR"/>
        </w:rPr>
        <w:t>VDE-TER Link ID</w:t>
      </w:r>
      <w:r w:rsidRPr="00C83885">
        <w:rPr>
          <w:lang w:eastAsia="ko-KR"/>
        </w:rPr>
        <w:t xml:space="preserve"> </w:t>
      </w:r>
      <w:r>
        <w:rPr>
          <w:lang w:eastAsia="ko-KR"/>
        </w:rPr>
        <w:t>19</w:t>
      </w:r>
      <w:r w:rsidRPr="00C83885">
        <w:rPr>
          <w:lang w:eastAsia="ko-KR"/>
        </w:rPr>
        <w:t xml:space="preserve"> when frequency offsets of 250 Hz and 500 Hz are given, respectively, under normal conditions.</w:t>
      </w:r>
    </w:p>
    <w:p w14:paraId="6F6A2B91" w14:textId="77777777" w:rsidR="000609E2" w:rsidRDefault="000609E2" w:rsidP="00955C29">
      <w:pPr>
        <w:pStyle w:val="BodyText"/>
        <w:rPr>
          <w:lang w:eastAsia="ko-KR"/>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7"/>
        <w:gridCol w:w="4791"/>
      </w:tblGrid>
      <w:tr w:rsidR="00955C29" w14:paraId="320B7D22" w14:textId="77777777" w:rsidTr="00955C29">
        <w:tc>
          <w:tcPr>
            <w:tcW w:w="4837" w:type="dxa"/>
            <w:vAlign w:val="bottom"/>
          </w:tcPr>
          <w:p w14:paraId="57164067" w14:textId="77777777" w:rsidR="00955C29" w:rsidRPr="00027AA1" w:rsidRDefault="00955C29" w:rsidP="00955C29">
            <w:pPr>
              <w:pStyle w:val="BodyText"/>
              <w:jc w:val="center"/>
              <w:rPr>
                <w:lang w:eastAsia="ko-KR"/>
              </w:rPr>
            </w:pPr>
            <w:r w:rsidRPr="00955C29">
              <w:rPr>
                <w:noProof/>
                <w:lang w:val="en-US" w:eastAsia="ko-KR"/>
              </w:rPr>
              <w:drawing>
                <wp:inline distT="0" distB="0" distL="0" distR="0" wp14:anchorId="355DAEBD" wp14:editId="66056019">
                  <wp:extent cx="2768600" cy="2174240"/>
                  <wp:effectExtent l="0" t="0" r="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68600" cy="2174240"/>
                          </a:xfrm>
                          <a:prstGeom prst="rect">
                            <a:avLst/>
                          </a:prstGeom>
                          <a:noFill/>
                          <a:ln>
                            <a:noFill/>
                          </a:ln>
                        </pic:spPr>
                      </pic:pic>
                    </a:graphicData>
                  </a:graphic>
                </wp:inline>
              </w:drawing>
            </w:r>
          </w:p>
          <w:p w14:paraId="0BB18A76" w14:textId="77777777" w:rsidR="00955C29" w:rsidRDefault="00955C29" w:rsidP="00955C29">
            <w:pPr>
              <w:pStyle w:val="BodyText"/>
              <w:jc w:val="center"/>
              <w:rPr>
                <w:lang w:eastAsia="ko-KR"/>
              </w:rPr>
            </w:pPr>
            <w:r>
              <w:rPr>
                <w:rFonts w:hint="eastAsia"/>
                <w:lang w:eastAsia="ko-KR"/>
              </w:rPr>
              <w:t>(a)</w:t>
            </w:r>
            <w:r>
              <w:rPr>
                <w:lang w:eastAsia="ko-KR"/>
              </w:rPr>
              <w:t xml:space="preserve"> Carrier Frequency Offset: 25</w:t>
            </w:r>
            <w:r w:rsidRPr="00941175">
              <w:rPr>
                <w:lang w:eastAsia="ko-KR"/>
              </w:rPr>
              <w:t>0Hz</w:t>
            </w:r>
          </w:p>
        </w:tc>
        <w:tc>
          <w:tcPr>
            <w:tcW w:w="4791" w:type="dxa"/>
            <w:vAlign w:val="bottom"/>
          </w:tcPr>
          <w:p w14:paraId="35197895" w14:textId="77777777" w:rsidR="00955C29" w:rsidRDefault="00955C29" w:rsidP="00955C29">
            <w:pPr>
              <w:pStyle w:val="BodyText"/>
              <w:jc w:val="center"/>
              <w:rPr>
                <w:lang w:eastAsia="ko-KR"/>
              </w:rPr>
            </w:pPr>
            <w:r w:rsidRPr="00955C29">
              <w:rPr>
                <w:noProof/>
                <w:lang w:val="en-US" w:eastAsia="ko-KR"/>
              </w:rPr>
              <w:drawing>
                <wp:inline distT="0" distB="0" distL="0" distR="0" wp14:anchorId="77449E4F" wp14:editId="1E7A26E0">
                  <wp:extent cx="2783840" cy="2164080"/>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83840" cy="2164080"/>
                          </a:xfrm>
                          <a:prstGeom prst="rect">
                            <a:avLst/>
                          </a:prstGeom>
                          <a:noFill/>
                          <a:ln>
                            <a:noFill/>
                          </a:ln>
                        </pic:spPr>
                      </pic:pic>
                    </a:graphicData>
                  </a:graphic>
                </wp:inline>
              </w:drawing>
            </w:r>
          </w:p>
          <w:p w14:paraId="2D33A9F2" w14:textId="77777777" w:rsidR="00955C29" w:rsidRDefault="00955C29" w:rsidP="00955C29">
            <w:pPr>
              <w:pStyle w:val="BodyText"/>
              <w:jc w:val="center"/>
              <w:rPr>
                <w:lang w:eastAsia="ko-KR"/>
              </w:rPr>
            </w:pPr>
            <w:r>
              <w:rPr>
                <w:rFonts w:hint="eastAsia"/>
                <w:lang w:eastAsia="ko-KR"/>
              </w:rPr>
              <w:t>(b)</w:t>
            </w:r>
            <w:r>
              <w:rPr>
                <w:lang w:eastAsia="ko-KR"/>
              </w:rPr>
              <w:t xml:space="preserve"> Carrier Frequency Offset: 500Hz</w:t>
            </w:r>
          </w:p>
        </w:tc>
      </w:tr>
    </w:tbl>
    <w:p w14:paraId="7DCC617B" w14:textId="77777777" w:rsidR="00955C29" w:rsidRPr="00577104" w:rsidRDefault="00955C29" w:rsidP="00955C29">
      <w:pPr>
        <w:pStyle w:val="Caption"/>
        <w:jc w:val="center"/>
        <w:rPr>
          <w:lang w:eastAsia="ko-KR"/>
        </w:rPr>
      </w:pPr>
      <w:r>
        <w:t xml:space="preserve">Figure </w:t>
      </w:r>
      <w:r>
        <w:rPr>
          <w:noProof/>
        </w:rPr>
        <w:fldChar w:fldCharType="begin"/>
      </w:r>
      <w:r>
        <w:rPr>
          <w:noProof/>
        </w:rPr>
        <w:instrText xml:space="preserve"> SEQ Figure \* ARABIC </w:instrText>
      </w:r>
      <w:r>
        <w:rPr>
          <w:noProof/>
        </w:rPr>
        <w:fldChar w:fldCharType="separate"/>
      </w:r>
      <w:r w:rsidR="00345D31">
        <w:rPr>
          <w:noProof/>
        </w:rPr>
        <w:t>6</w:t>
      </w:r>
      <w:r>
        <w:rPr>
          <w:noProof/>
        </w:rPr>
        <w:fldChar w:fldCharType="end"/>
      </w:r>
      <w:r>
        <w:t xml:space="preserve"> P</w:t>
      </w:r>
      <w:r w:rsidRPr="00577104">
        <w:t>ER Performance with CR</w:t>
      </w:r>
      <w:r>
        <w:t xml:space="preserve"> under Carrier Frequency </w:t>
      </w:r>
      <w:r>
        <w:rPr>
          <w:lang w:eastAsia="ko-KR"/>
        </w:rPr>
        <w:t>Offset (VDE-TER Link ID 19)</w:t>
      </w:r>
    </w:p>
    <w:p w14:paraId="24C4AD9C" w14:textId="77777777" w:rsidR="00955C29" w:rsidRDefault="00955C29" w:rsidP="00955C29">
      <w:pPr>
        <w:pStyle w:val="BodyText"/>
        <w:rPr>
          <w:lang w:eastAsia="ko-KR"/>
        </w:rPr>
      </w:pPr>
    </w:p>
    <w:p w14:paraId="28451250" w14:textId="77777777" w:rsidR="00955C29" w:rsidRDefault="00955C29" w:rsidP="00955C29">
      <w:pPr>
        <w:pStyle w:val="Caption"/>
        <w:keepNext/>
        <w:jc w:val="center"/>
      </w:pPr>
      <w:r>
        <w:t xml:space="preserve">Table </w:t>
      </w:r>
      <w:r>
        <w:rPr>
          <w:noProof/>
        </w:rPr>
        <w:fldChar w:fldCharType="begin"/>
      </w:r>
      <w:r>
        <w:rPr>
          <w:noProof/>
        </w:rPr>
        <w:instrText xml:space="preserve"> SEQ Table \* ARABIC </w:instrText>
      </w:r>
      <w:r>
        <w:rPr>
          <w:noProof/>
        </w:rPr>
        <w:fldChar w:fldCharType="separate"/>
      </w:r>
      <w:r>
        <w:rPr>
          <w:noProof/>
        </w:rPr>
        <w:t>8</w:t>
      </w:r>
      <w:r>
        <w:rPr>
          <w:noProof/>
        </w:rPr>
        <w:fldChar w:fldCharType="end"/>
      </w:r>
      <w:r>
        <w:t xml:space="preserve"> P</w:t>
      </w:r>
      <w:r>
        <w:rPr>
          <w:rFonts w:hint="eastAsia"/>
          <w:lang w:eastAsia="ko-KR"/>
        </w:rPr>
        <w:t>ER Performance with C</w:t>
      </w:r>
      <w:r>
        <w:rPr>
          <w:lang w:eastAsia="ko-KR"/>
        </w:rPr>
        <w:t xml:space="preserve">arrier </w:t>
      </w:r>
      <w:r>
        <w:rPr>
          <w:rFonts w:hint="eastAsia"/>
          <w:lang w:eastAsia="ko-KR"/>
        </w:rPr>
        <w:t>R</w:t>
      </w:r>
      <w:r>
        <w:rPr>
          <w:lang w:eastAsia="ko-KR"/>
        </w:rPr>
        <w:t>ecovery (VDE-TER Link ID 19)</w:t>
      </w:r>
    </w:p>
    <w:tbl>
      <w:tblPr>
        <w:tblW w:w="8251" w:type="dxa"/>
        <w:jc w:val="center"/>
        <w:tblCellMar>
          <w:left w:w="0" w:type="dxa"/>
          <w:right w:w="0" w:type="dxa"/>
        </w:tblCellMar>
        <w:tblLook w:val="04A0" w:firstRow="1" w:lastRow="0" w:firstColumn="1" w:lastColumn="0" w:noHBand="0" w:noVBand="1"/>
      </w:tblPr>
      <w:tblGrid>
        <w:gridCol w:w="2665"/>
        <w:gridCol w:w="1916"/>
        <w:gridCol w:w="1892"/>
        <w:gridCol w:w="1778"/>
      </w:tblGrid>
      <w:tr w:rsidR="00955C29" w:rsidRPr="00E42FFF" w14:paraId="0AC63CC1" w14:textId="77777777" w:rsidTr="00955C29">
        <w:trPr>
          <w:trHeight w:val="20"/>
          <w:jc w:val="center"/>
        </w:trPr>
        <w:tc>
          <w:tcPr>
            <w:tcW w:w="2665" w:type="dxa"/>
            <w:vMerge w:val="restart"/>
            <w:tcBorders>
              <w:top w:val="single" w:sz="8" w:space="0" w:color="BFBFBF"/>
              <w:left w:val="single" w:sz="8" w:space="0" w:color="BFBFBF"/>
              <w:right w:val="single" w:sz="8" w:space="0" w:color="BFBFBF"/>
            </w:tcBorders>
            <w:shd w:val="clear" w:color="auto" w:fill="F2F2F2"/>
            <w:vAlign w:val="center"/>
          </w:tcPr>
          <w:p w14:paraId="7CDC5C54" w14:textId="77777777" w:rsidR="00955C29" w:rsidRPr="00A86189" w:rsidRDefault="00955C29" w:rsidP="00955C29">
            <w:pPr>
              <w:pStyle w:val="TableParagraph"/>
              <w:spacing w:before="0"/>
              <w:ind w:left="57"/>
              <w:jc w:val="center"/>
              <w:rPr>
                <w:sz w:val="20"/>
                <w:szCs w:val="20"/>
              </w:rPr>
            </w:pPr>
            <w:r w:rsidRPr="00A86189">
              <w:rPr>
                <w:sz w:val="20"/>
                <w:szCs w:val="20"/>
              </w:rPr>
              <w:t xml:space="preserve">Link ID </w:t>
            </w:r>
            <w:r>
              <w:rPr>
                <w:sz w:val="20"/>
                <w:szCs w:val="20"/>
              </w:rPr>
              <w:t>17</w:t>
            </w:r>
          </w:p>
          <w:p w14:paraId="2CCEF77B"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w:t>
            </w:r>
            <w:r>
              <w:rPr>
                <w:sz w:val="20"/>
                <w:szCs w:val="20"/>
              </w:rPr>
              <w:t xml:space="preserve">3/4 </w:t>
            </w:r>
            <w:r>
              <w:rPr>
                <w:rFonts w:eastAsiaTheme="minorEastAsia" w:hint="eastAsia"/>
                <w:sz w:val="20"/>
                <w:szCs w:val="20"/>
                <w:lang w:eastAsia="ko-KR"/>
              </w:rPr>
              <w:t>1</w:t>
            </w:r>
            <w:r>
              <w:rPr>
                <w:rFonts w:eastAsiaTheme="minorEastAsia"/>
                <w:sz w:val="20"/>
                <w:szCs w:val="20"/>
                <w:lang w:eastAsia="ko-KR"/>
              </w:rPr>
              <w:t>6</w:t>
            </w:r>
            <w:r>
              <w:rPr>
                <w:rFonts w:eastAsiaTheme="minorEastAsia" w:hint="eastAsia"/>
                <w:sz w:val="20"/>
                <w:szCs w:val="20"/>
                <w:lang w:eastAsia="ko-KR"/>
              </w:rPr>
              <w:t>QAM</w:t>
            </w:r>
            <w:r w:rsidRPr="00A86189">
              <w:rPr>
                <w:rFonts w:hint="eastAsia"/>
                <w:sz w:val="20"/>
                <w:szCs w:val="20"/>
              </w:rPr>
              <w:t>)</w:t>
            </w:r>
          </w:p>
        </w:tc>
        <w:tc>
          <w:tcPr>
            <w:tcW w:w="1916" w:type="dxa"/>
            <w:vMerge w:val="restart"/>
            <w:tcBorders>
              <w:top w:val="single" w:sz="8" w:space="0" w:color="BFBFBF"/>
              <w:left w:val="single" w:sz="8" w:space="0" w:color="BFBFBF"/>
              <w:right w:val="single" w:sz="8" w:space="0" w:color="BFBFBF"/>
            </w:tcBorders>
            <w:shd w:val="clear" w:color="auto" w:fill="F2F2F2"/>
            <w:tcMar>
              <w:top w:w="45" w:type="dxa"/>
              <w:left w:w="144" w:type="dxa"/>
              <w:bottom w:w="45" w:type="dxa"/>
              <w:right w:w="144" w:type="dxa"/>
            </w:tcMar>
            <w:vAlign w:val="center"/>
          </w:tcPr>
          <w:p w14:paraId="1AF8F1FE"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with Coherent</w:t>
            </w:r>
          </w:p>
          <w:p w14:paraId="5B685B9D"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Ideal sync.</w:t>
            </w:r>
          </w:p>
        </w:tc>
        <w:tc>
          <w:tcPr>
            <w:tcW w:w="3670" w:type="dxa"/>
            <w:gridSpan w:val="2"/>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4D8F74AB" w14:textId="77777777" w:rsidR="00955C29" w:rsidRPr="00A86189" w:rsidRDefault="00955C29" w:rsidP="00955C29">
            <w:pPr>
              <w:pStyle w:val="TableParagraph"/>
              <w:spacing w:before="0"/>
              <w:ind w:left="57"/>
              <w:jc w:val="center"/>
              <w:rPr>
                <w:sz w:val="20"/>
                <w:szCs w:val="20"/>
              </w:rPr>
            </w:pPr>
            <w:r w:rsidRPr="00A86189">
              <w:rPr>
                <w:sz w:val="20"/>
                <w:szCs w:val="20"/>
              </w:rPr>
              <w:t>Carrier Frequency Offset</w:t>
            </w:r>
          </w:p>
          <w:p w14:paraId="137BADC6"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 xml:space="preserve">with </w:t>
            </w:r>
            <w:r w:rsidRPr="00A86189">
              <w:rPr>
                <w:sz w:val="20"/>
                <w:szCs w:val="20"/>
              </w:rPr>
              <w:t xml:space="preserve"> </w:t>
            </w:r>
            <w:r w:rsidRPr="00A86189">
              <w:rPr>
                <w:rFonts w:hint="eastAsia"/>
                <w:sz w:val="20"/>
                <w:szCs w:val="20"/>
              </w:rPr>
              <w:t>General C</w:t>
            </w:r>
            <w:r w:rsidRPr="00A86189">
              <w:rPr>
                <w:sz w:val="20"/>
                <w:szCs w:val="20"/>
              </w:rPr>
              <w:t>R</w:t>
            </w:r>
          </w:p>
        </w:tc>
      </w:tr>
      <w:tr w:rsidR="00955C29" w:rsidRPr="00E42FFF" w14:paraId="7C6C1FBF" w14:textId="77777777" w:rsidTr="00955C29">
        <w:trPr>
          <w:trHeight w:val="20"/>
          <w:jc w:val="center"/>
        </w:trPr>
        <w:tc>
          <w:tcPr>
            <w:tcW w:w="2665" w:type="dxa"/>
            <w:vMerge/>
            <w:tcBorders>
              <w:left w:val="single" w:sz="8" w:space="0" w:color="BFBFBF"/>
              <w:bottom w:val="single" w:sz="8" w:space="0" w:color="BFBFBF"/>
              <w:right w:val="single" w:sz="8" w:space="0" w:color="BFBFBF"/>
            </w:tcBorders>
            <w:shd w:val="clear" w:color="auto" w:fill="F2F2F2"/>
            <w:vAlign w:val="center"/>
          </w:tcPr>
          <w:p w14:paraId="721577F3" w14:textId="77777777" w:rsidR="00955C29" w:rsidRPr="00A86189" w:rsidRDefault="00955C29" w:rsidP="00955C29">
            <w:pPr>
              <w:pStyle w:val="TableParagraph"/>
              <w:spacing w:before="0"/>
              <w:ind w:left="57"/>
              <w:jc w:val="center"/>
              <w:rPr>
                <w:sz w:val="20"/>
                <w:szCs w:val="20"/>
              </w:rPr>
            </w:pPr>
          </w:p>
        </w:tc>
        <w:tc>
          <w:tcPr>
            <w:tcW w:w="1916" w:type="dxa"/>
            <w:vMerge/>
            <w:tcBorders>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tcPr>
          <w:p w14:paraId="3CA79C30" w14:textId="77777777" w:rsidR="00955C29" w:rsidRPr="00A86189" w:rsidRDefault="00955C29" w:rsidP="00955C29">
            <w:pPr>
              <w:pStyle w:val="TableParagraph"/>
              <w:spacing w:before="0"/>
              <w:ind w:left="57"/>
              <w:jc w:val="center"/>
              <w:rPr>
                <w:sz w:val="20"/>
                <w:szCs w:val="20"/>
              </w:rPr>
            </w:pPr>
          </w:p>
        </w:tc>
        <w:tc>
          <w:tcPr>
            <w:tcW w:w="1892"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051FC178" w14:textId="77777777" w:rsidR="00955C29" w:rsidRPr="00A86189" w:rsidRDefault="006376E4" w:rsidP="006376E4">
            <w:pPr>
              <w:pStyle w:val="TableParagraph"/>
              <w:spacing w:before="0"/>
              <w:ind w:left="57"/>
              <w:jc w:val="center"/>
              <w:rPr>
                <w:sz w:val="20"/>
                <w:szCs w:val="20"/>
              </w:rPr>
            </w:pPr>
            <w:r>
              <w:rPr>
                <w:sz w:val="20"/>
                <w:szCs w:val="20"/>
              </w:rPr>
              <w:t>25</w:t>
            </w:r>
            <w:r w:rsidR="00955C29">
              <w:rPr>
                <w:sz w:val="20"/>
                <w:szCs w:val="20"/>
              </w:rPr>
              <w:t>0</w:t>
            </w:r>
            <w:r w:rsidR="00955C29" w:rsidRPr="00A86189">
              <w:rPr>
                <w:sz w:val="20"/>
                <w:szCs w:val="20"/>
              </w:rPr>
              <w:t>Hz</w:t>
            </w:r>
          </w:p>
        </w:tc>
        <w:tc>
          <w:tcPr>
            <w:tcW w:w="1778" w:type="dxa"/>
            <w:tcBorders>
              <w:top w:val="single" w:sz="8" w:space="0" w:color="BFBFBF"/>
              <w:left w:val="single" w:sz="8" w:space="0" w:color="BFBFBF"/>
              <w:bottom w:val="single" w:sz="8" w:space="0" w:color="BFBFBF"/>
              <w:right w:val="single" w:sz="8" w:space="0" w:color="BFBFBF"/>
            </w:tcBorders>
            <w:shd w:val="clear" w:color="auto" w:fill="F2F2F2"/>
            <w:tcMar>
              <w:top w:w="45" w:type="dxa"/>
              <w:left w:w="144" w:type="dxa"/>
              <w:bottom w:w="45" w:type="dxa"/>
              <w:right w:w="144" w:type="dxa"/>
            </w:tcMar>
            <w:vAlign w:val="center"/>
            <w:hideMark/>
          </w:tcPr>
          <w:p w14:paraId="2E4DDEE1" w14:textId="77777777" w:rsidR="00955C29" w:rsidRPr="00A86189" w:rsidRDefault="006376E4" w:rsidP="006376E4">
            <w:pPr>
              <w:pStyle w:val="TableParagraph"/>
              <w:spacing w:before="0"/>
              <w:ind w:left="57"/>
              <w:jc w:val="center"/>
              <w:rPr>
                <w:sz w:val="20"/>
                <w:szCs w:val="20"/>
              </w:rPr>
            </w:pPr>
            <w:r>
              <w:rPr>
                <w:sz w:val="20"/>
                <w:szCs w:val="20"/>
              </w:rPr>
              <w:t>500</w:t>
            </w:r>
            <w:r w:rsidR="00955C29" w:rsidRPr="00A86189">
              <w:rPr>
                <w:sz w:val="20"/>
                <w:szCs w:val="20"/>
              </w:rPr>
              <w:t>Hz</w:t>
            </w:r>
          </w:p>
        </w:tc>
      </w:tr>
      <w:tr w:rsidR="00955C29" w:rsidRPr="00E42FFF" w14:paraId="2BACE474" w14:textId="77777777" w:rsidTr="00955C29">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5B0AE390"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Required SNR[dB]</w:t>
            </w:r>
          </w:p>
          <w:p w14:paraId="4BC8EAD8"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 xml:space="preserve">@ </w:t>
            </w:r>
            <w:r w:rsidRPr="00A86189">
              <w:rPr>
                <w:sz w:val="20"/>
                <w:szCs w:val="20"/>
              </w:rPr>
              <w:t xml:space="preserve">PER </w:t>
            </w:r>
            <w:r>
              <w:rPr>
                <w:sz w:val="20"/>
                <w:szCs w:val="20"/>
              </w:rPr>
              <w:t>1</w:t>
            </w:r>
            <w:r w:rsidRPr="00A86189">
              <w:rPr>
                <w:sz w:val="20"/>
                <w:szCs w:val="20"/>
              </w:rPr>
              <w:t>%</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75E65102" w14:textId="77777777" w:rsidR="00955C29" w:rsidRPr="00A86189" w:rsidRDefault="00955C29" w:rsidP="00955C29">
            <w:pPr>
              <w:pStyle w:val="TableParagraph"/>
              <w:spacing w:before="0"/>
              <w:ind w:left="57"/>
              <w:jc w:val="center"/>
              <w:rPr>
                <w:sz w:val="20"/>
                <w:szCs w:val="20"/>
              </w:rPr>
            </w:pPr>
            <w:r>
              <w:rPr>
                <w:sz w:val="20"/>
                <w:szCs w:val="20"/>
              </w:rPr>
              <w:t>11.0</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1FBEB330" w14:textId="77777777" w:rsidR="00955C29" w:rsidRPr="00A66DB3" w:rsidRDefault="00955C29" w:rsidP="00955C29">
            <w:pPr>
              <w:pStyle w:val="TableParagraph"/>
              <w:spacing w:before="0"/>
              <w:ind w:left="57"/>
              <w:jc w:val="center"/>
              <w:rPr>
                <w:rFonts w:eastAsiaTheme="minorEastAsia"/>
                <w:sz w:val="20"/>
                <w:szCs w:val="20"/>
                <w:lang w:eastAsia="ko-KR"/>
              </w:rPr>
            </w:pPr>
            <w:r>
              <w:rPr>
                <w:rFonts w:eastAsiaTheme="minorEastAsia"/>
                <w:sz w:val="20"/>
                <w:szCs w:val="20"/>
                <w:lang w:eastAsia="ko-KR"/>
              </w:rPr>
              <w:t>13.3</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1ECFCD8" w14:textId="77777777" w:rsidR="00955C29" w:rsidRPr="00A86189" w:rsidRDefault="00955C29" w:rsidP="00955C29">
            <w:pPr>
              <w:pStyle w:val="TableParagraph"/>
              <w:spacing w:before="0"/>
              <w:ind w:left="57"/>
              <w:jc w:val="center"/>
              <w:rPr>
                <w:sz w:val="20"/>
                <w:szCs w:val="20"/>
              </w:rPr>
            </w:pPr>
            <w:r>
              <w:rPr>
                <w:sz w:val="20"/>
                <w:szCs w:val="20"/>
              </w:rPr>
              <w:t>13.3</w:t>
            </w:r>
          </w:p>
        </w:tc>
      </w:tr>
      <w:tr w:rsidR="00955C29" w:rsidRPr="00E42FFF" w14:paraId="5AC1CF8F" w14:textId="77777777" w:rsidTr="00955C29">
        <w:trPr>
          <w:trHeight w:val="20"/>
          <w:jc w:val="center"/>
        </w:trPr>
        <w:tc>
          <w:tcPr>
            <w:tcW w:w="2665" w:type="dxa"/>
            <w:tcBorders>
              <w:top w:val="single" w:sz="8" w:space="0" w:color="BFBFBF"/>
              <w:left w:val="single" w:sz="8" w:space="0" w:color="BFBFBF"/>
              <w:bottom w:val="single" w:sz="8" w:space="0" w:color="BFBFBF"/>
              <w:right w:val="single" w:sz="8" w:space="0" w:color="BFBFBF"/>
            </w:tcBorders>
            <w:shd w:val="clear" w:color="auto" w:fill="F2F2F2" w:themeFill="background1" w:themeFillShade="F2"/>
            <w:vAlign w:val="center"/>
          </w:tcPr>
          <w:p w14:paraId="22C504E4" w14:textId="77777777" w:rsidR="00955C29" w:rsidRPr="00A86189" w:rsidRDefault="00955C29" w:rsidP="00955C29">
            <w:pPr>
              <w:pStyle w:val="TableParagraph"/>
              <w:spacing w:before="0"/>
              <w:ind w:left="57"/>
              <w:jc w:val="center"/>
              <w:rPr>
                <w:sz w:val="20"/>
                <w:szCs w:val="20"/>
              </w:rPr>
            </w:pPr>
            <w:r w:rsidRPr="00A86189">
              <w:rPr>
                <w:sz w:val="20"/>
                <w:szCs w:val="20"/>
              </w:rPr>
              <w:t xml:space="preserve">Performance degradation </w:t>
            </w:r>
            <w:r w:rsidRPr="00A86189">
              <w:rPr>
                <w:rFonts w:hint="eastAsia"/>
                <w:sz w:val="20"/>
                <w:szCs w:val="20"/>
              </w:rPr>
              <w:t>with CR via ideal sync.</w:t>
            </w:r>
          </w:p>
          <w:p w14:paraId="7B5974FE"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w:t>
            </w:r>
            <w:r w:rsidRPr="00A86189">
              <w:rPr>
                <w:sz w:val="20"/>
                <w:szCs w:val="20"/>
              </w:rPr>
              <w:t xml:space="preserve">Gap </w:t>
            </w:r>
            <w:r w:rsidRPr="00A86189">
              <w:rPr>
                <w:rFonts w:hint="eastAsia"/>
                <w:sz w:val="20"/>
                <w:szCs w:val="20"/>
              </w:rPr>
              <w:t>for</w:t>
            </w:r>
            <w:r w:rsidRPr="00A86189">
              <w:rPr>
                <w:sz w:val="20"/>
                <w:szCs w:val="20"/>
              </w:rPr>
              <w:t xml:space="preserve"> required </w:t>
            </w:r>
            <w:r w:rsidRPr="00A86189">
              <w:rPr>
                <w:rFonts w:hint="eastAsia"/>
                <w:sz w:val="20"/>
                <w:szCs w:val="20"/>
              </w:rPr>
              <w:t>SNR)</w:t>
            </w:r>
          </w:p>
          <w:p w14:paraId="31EA3022"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[dB]</w:t>
            </w:r>
          </w:p>
        </w:tc>
        <w:tc>
          <w:tcPr>
            <w:tcW w:w="1916"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tcPr>
          <w:p w14:paraId="00454592" w14:textId="77777777" w:rsidR="00955C29" w:rsidRPr="00A86189" w:rsidRDefault="00955C29" w:rsidP="00955C29">
            <w:pPr>
              <w:pStyle w:val="TableParagraph"/>
              <w:spacing w:before="0"/>
              <w:ind w:left="57"/>
              <w:jc w:val="center"/>
              <w:rPr>
                <w:sz w:val="20"/>
                <w:szCs w:val="20"/>
              </w:rPr>
            </w:pPr>
            <w:r w:rsidRPr="00A86189">
              <w:rPr>
                <w:rFonts w:hint="eastAsia"/>
                <w:sz w:val="20"/>
                <w:szCs w:val="20"/>
              </w:rPr>
              <w:t>-</w:t>
            </w:r>
          </w:p>
        </w:tc>
        <w:tc>
          <w:tcPr>
            <w:tcW w:w="1892"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C8AB4DF" w14:textId="77777777" w:rsidR="00955C29" w:rsidRPr="004855DA" w:rsidRDefault="00955C29" w:rsidP="00955C29">
            <w:pPr>
              <w:pStyle w:val="TableParagraph"/>
              <w:spacing w:before="0"/>
              <w:ind w:left="57"/>
              <w:jc w:val="center"/>
              <w:rPr>
                <w:rFonts w:eastAsiaTheme="minorEastAsia"/>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2.3dB</w:t>
            </w:r>
          </w:p>
        </w:tc>
        <w:tc>
          <w:tcPr>
            <w:tcW w:w="1778" w:type="dxa"/>
            <w:tcBorders>
              <w:top w:val="single" w:sz="8" w:space="0" w:color="BFBFBF"/>
              <w:left w:val="single" w:sz="8" w:space="0" w:color="BFBFBF"/>
              <w:bottom w:val="single" w:sz="8" w:space="0" w:color="BFBFBF"/>
              <w:right w:val="single" w:sz="8" w:space="0" w:color="BFBFBF"/>
            </w:tcBorders>
            <w:shd w:val="clear" w:color="auto" w:fill="auto"/>
            <w:tcMar>
              <w:top w:w="45" w:type="dxa"/>
              <w:left w:w="144" w:type="dxa"/>
              <w:bottom w:w="45" w:type="dxa"/>
              <w:right w:w="144" w:type="dxa"/>
            </w:tcMar>
            <w:vAlign w:val="center"/>
            <w:hideMark/>
          </w:tcPr>
          <w:p w14:paraId="7049D01D" w14:textId="77777777" w:rsidR="00955C29" w:rsidRPr="00A86189" w:rsidRDefault="00955C29" w:rsidP="00955C29">
            <w:pPr>
              <w:pStyle w:val="TableParagraph"/>
              <w:spacing w:before="0"/>
              <w:ind w:left="57"/>
              <w:jc w:val="center"/>
              <w:rPr>
                <w:sz w:val="20"/>
                <w:szCs w:val="20"/>
                <w:lang w:eastAsia="ko-KR"/>
              </w:rPr>
            </w:pPr>
            <w:r>
              <w:rPr>
                <w:rFonts w:eastAsiaTheme="minorEastAsia"/>
                <w:sz w:val="20"/>
                <w:szCs w:val="20"/>
                <w:lang w:eastAsia="ko-KR"/>
              </w:rPr>
              <w:t>c</w:t>
            </w:r>
            <w:r>
              <w:rPr>
                <w:rFonts w:eastAsiaTheme="minorEastAsia" w:hint="eastAsia"/>
                <w:sz w:val="20"/>
                <w:szCs w:val="20"/>
                <w:lang w:eastAsia="ko-KR"/>
              </w:rPr>
              <w:t>a.</w:t>
            </w:r>
            <w:r>
              <w:rPr>
                <w:rFonts w:eastAsiaTheme="minorEastAsia"/>
                <w:sz w:val="20"/>
                <w:szCs w:val="20"/>
                <w:lang w:eastAsia="ko-KR"/>
              </w:rPr>
              <w:t xml:space="preserve"> 2.3dB</w:t>
            </w:r>
          </w:p>
        </w:tc>
      </w:tr>
    </w:tbl>
    <w:p w14:paraId="584497DC" w14:textId="77777777" w:rsidR="00955C29" w:rsidRDefault="00955C29" w:rsidP="00955C29">
      <w:pPr>
        <w:pStyle w:val="BodyText"/>
        <w:rPr>
          <w:lang w:eastAsia="ko-KR"/>
        </w:rPr>
      </w:pPr>
    </w:p>
    <w:p w14:paraId="5A82B6E0" w14:textId="77777777" w:rsidR="00093FE7" w:rsidRDefault="00093FE7" w:rsidP="00093FE7">
      <w:pPr>
        <w:pStyle w:val="BodyText"/>
        <w:rPr>
          <w:lang w:eastAsia="ko-KR"/>
        </w:rPr>
      </w:pPr>
      <w:r>
        <w:rPr>
          <w:lang w:eastAsia="ko-KR"/>
        </w:rPr>
        <w:t xml:space="preserve">Figure 6 and Table 8 (for Link ID 19) show the result confirmed by simulating the required SNR to satisfy PER 1% performance under normal </w:t>
      </w:r>
      <w:r w:rsidRPr="006376E4">
        <w:rPr>
          <w:lang w:eastAsia="ko-KR"/>
        </w:rPr>
        <w:t>conditions when frequency offsets of respectively 250Hz and 500Hz are given.</w:t>
      </w:r>
    </w:p>
    <w:p w14:paraId="63AE950D" w14:textId="77777777" w:rsidR="00093FE7" w:rsidRDefault="00093FE7" w:rsidP="00093FE7">
      <w:pPr>
        <w:pStyle w:val="BodyText"/>
        <w:rPr>
          <w:lang w:eastAsia="ko-KR"/>
        </w:rPr>
      </w:pPr>
      <w:r>
        <w:rPr>
          <w:lang w:eastAsia="ko-KR"/>
        </w:rPr>
        <w:t>From the above results, it was confirmed that frequency offset processing is possible within about 2.3dB of performance degradation compared to coherent ideal synchronization by applying the CR algorithm for the SNR required for PER 1%.</w:t>
      </w:r>
    </w:p>
    <w:p w14:paraId="3B990038" w14:textId="77777777" w:rsidR="00093FE7" w:rsidRDefault="00093FE7" w:rsidP="00093FE7">
      <w:pPr>
        <w:pStyle w:val="BodyText"/>
        <w:rPr>
          <w:lang w:eastAsia="ko-KR"/>
        </w:rPr>
      </w:pPr>
      <w:r>
        <w:rPr>
          <w:lang w:eastAsia="ko-KR"/>
        </w:rPr>
        <w:t>Furthermore, even considering the implementation, since there is a margin of SNR 3dB in the test specification, Link ID 19 is expected to meet the receiver sensitivity requirements PER of 20%.</w:t>
      </w:r>
    </w:p>
    <w:p w14:paraId="77AA3EC7" w14:textId="77777777" w:rsidR="00093FE7" w:rsidRPr="00955C29" w:rsidRDefault="00093FE7" w:rsidP="00387D06">
      <w:pPr>
        <w:pStyle w:val="BodyText"/>
        <w:rPr>
          <w:lang w:eastAsia="ko-KR"/>
        </w:rPr>
      </w:pPr>
    </w:p>
    <w:p w14:paraId="593761B6" w14:textId="77777777" w:rsidR="00B26E3E" w:rsidRDefault="00B26E3E" w:rsidP="00B26E3E">
      <w:pPr>
        <w:pStyle w:val="Heading1"/>
        <w:numPr>
          <w:ilvl w:val="0"/>
          <w:numId w:val="14"/>
        </w:numPr>
        <w:jc w:val="both"/>
      </w:pPr>
      <w:r>
        <w:rPr>
          <w:rFonts w:hint="eastAsia"/>
          <w:lang w:eastAsia="ko-KR"/>
        </w:rPr>
        <w:t>Conclusion</w:t>
      </w:r>
    </w:p>
    <w:p w14:paraId="3CAC620D" w14:textId="77777777" w:rsidR="00820D59" w:rsidRDefault="002A39E2" w:rsidP="00B26E3E">
      <w:pPr>
        <w:pStyle w:val="BodyText"/>
        <w:rPr>
          <w:lang w:eastAsia="ko-KR"/>
        </w:rPr>
      </w:pPr>
      <w:r>
        <w:rPr>
          <w:lang w:eastAsia="ko-KR"/>
        </w:rPr>
        <w:t>In t</w:t>
      </w:r>
      <w:r w:rsidR="00820D59" w:rsidRPr="00820D59">
        <w:rPr>
          <w:lang w:eastAsia="ko-KR"/>
        </w:rPr>
        <w:t>his pa</w:t>
      </w:r>
      <w:r w:rsidR="00660737">
        <w:rPr>
          <w:lang w:eastAsia="ko-KR"/>
        </w:rPr>
        <w:t>p</w:t>
      </w:r>
      <w:r w:rsidR="00820D59" w:rsidRPr="00820D59">
        <w:rPr>
          <w:lang w:eastAsia="ko-KR"/>
        </w:rPr>
        <w:t>er</w:t>
      </w:r>
      <w:r>
        <w:rPr>
          <w:lang w:eastAsia="ko-KR"/>
        </w:rPr>
        <w:t xml:space="preserve">, </w:t>
      </w:r>
      <w:r w:rsidR="00820D59" w:rsidRPr="00820D59">
        <w:rPr>
          <w:lang w:eastAsia="ko-KR"/>
        </w:rPr>
        <w:t xml:space="preserve">simulation </w:t>
      </w:r>
      <w:r w:rsidR="00EB71F5">
        <w:rPr>
          <w:lang w:eastAsia="ko-KR"/>
        </w:rPr>
        <w:t>test</w:t>
      </w:r>
      <w:r>
        <w:rPr>
          <w:lang w:eastAsia="ko-KR"/>
        </w:rPr>
        <w:t>s</w:t>
      </w:r>
      <w:r w:rsidR="00660737">
        <w:rPr>
          <w:lang w:eastAsia="ko-KR"/>
        </w:rPr>
        <w:t xml:space="preserve"> </w:t>
      </w:r>
      <w:r>
        <w:rPr>
          <w:lang w:eastAsia="ko-KR"/>
        </w:rPr>
        <w:t xml:space="preserve">were </w:t>
      </w:r>
      <w:r w:rsidR="00820D59" w:rsidRPr="00820D59">
        <w:rPr>
          <w:lang w:eastAsia="ko-KR"/>
        </w:rPr>
        <w:t xml:space="preserve">performed to </w:t>
      </w:r>
      <w:r w:rsidR="00660737">
        <w:rPr>
          <w:lang w:eastAsia="ko-KR"/>
        </w:rPr>
        <w:t>verify</w:t>
      </w:r>
      <w:r w:rsidR="00820D59" w:rsidRPr="00820D59">
        <w:rPr>
          <w:lang w:eastAsia="ko-KR"/>
        </w:rPr>
        <w:t xml:space="preserve"> </w:t>
      </w:r>
      <w:r>
        <w:rPr>
          <w:lang w:eastAsia="ko-KR"/>
        </w:rPr>
        <w:t xml:space="preserve">that </w:t>
      </w:r>
      <w:r w:rsidR="00660737">
        <w:rPr>
          <w:lang w:eastAsia="ko-KR"/>
        </w:rPr>
        <w:t xml:space="preserve">test </w:t>
      </w:r>
      <w:r w:rsidR="006376E4">
        <w:rPr>
          <w:lang w:eastAsia="ko-KR"/>
        </w:rPr>
        <w:t xml:space="preserve">requirement for receiver sensitivity </w:t>
      </w:r>
      <w:r w:rsidR="00660737">
        <w:rPr>
          <w:lang w:eastAsia="ko-KR"/>
        </w:rPr>
        <w:t>according to IEC PAS 63343:2021</w:t>
      </w:r>
      <w:r>
        <w:rPr>
          <w:lang w:eastAsia="ko-KR"/>
        </w:rPr>
        <w:t xml:space="preserve"> can be satisfied and whether this test requirement may be applicable to VED-TER.</w:t>
      </w:r>
    </w:p>
    <w:p w14:paraId="3C3A6BE2" w14:textId="77777777" w:rsidR="00820D59" w:rsidRDefault="00820D59" w:rsidP="00B26E3E">
      <w:pPr>
        <w:pStyle w:val="BodyText"/>
        <w:rPr>
          <w:lang w:eastAsia="ko-KR"/>
        </w:rPr>
      </w:pPr>
      <w:r w:rsidRPr="00820D59">
        <w:rPr>
          <w:lang w:eastAsia="ko-KR"/>
        </w:rPr>
        <w:lastRenderedPageBreak/>
        <w:t xml:space="preserve">The simulation </w:t>
      </w:r>
      <w:r w:rsidR="00EB71F5">
        <w:rPr>
          <w:lang w:eastAsia="ko-KR"/>
        </w:rPr>
        <w:t xml:space="preserve">test </w:t>
      </w:r>
      <w:r w:rsidRPr="00820D59">
        <w:rPr>
          <w:lang w:eastAsia="ko-KR"/>
        </w:rPr>
        <w:t>was performed by applying frequency offsets of 250Hz and 500Hz in the AWGN channel for ASM Link ID 1, 5 and VDE-TER Link ID 11, 17, and 19, and applying the general frequency recovery algorithm shown in Figure 1.</w:t>
      </w:r>
    </w:p>
    <w:p w14:paraId="28498ACE" w14:textId="77777777" w:rsidR="00820D59" w:rsidRDefault="00820D59" w:rsidP="00B26E3E">
      <w:pPr>
        <w:pStyle w:val="BodyText"/>
        <w:rPr>
          <w:lang w:eastAsia="ko-KR"/>
        </w:rPr>
      </w:pPr>
      <w:r w:rsidRPr="00820D59">
        <w:rPr>
          <w:lang w:eastAsia="ko-KR"/>
        </w:rPr>
        <w:t>In the case of ASM, in the presence of a frequency offset of 250Hz, both Link ID 1 and 5 used frequency recovery algorithms to confirm performance degradation within 1.2dB compared to the coherent ideal synchronization condition at PER 20%.</w:t>
      </w:r>
    </w:p>
    <w:p w14:paraId="285EC22D" w14:textId="77777777" w:rsidR="00820D59" w:rsidRDefault="00820D59" w:rsidP="00820D59">
      <w:pPr>
        <w:pStyle w:val="BodyText"/>
        <w:rPr>
          <w:lang w:eastAsia="ko-KR"/>
        </w:rPr>
      </w:pPr>
      <w:r>
        <w:rPr>
          <w:lang w:eastAsia="ko-KR"/>
        </w:rPr>
        <w:t>On the other hand, in the case of VDE-TER Link I</w:t>
      </w:r>
      <w:r w:rsidR="00200030">
        <w:rPr>
          <w:lang w:eastAsia="ko-KR"/>
        </w:rPr>
        <w:t>D</w:t>
      </w:r>
      <w:r>
        <w:rPr>
          <w:lang w:eastAsia="ko-KR"/>
        </w:rPr>
        <w:t xml:space="preserve"> 11 and 17, performance degradation of about 6dB was confirmed at PER 1% compared to the coherent ideal synchronization condition. </w:t>
      </w:r>
    </w:p>
    <w:p w14:paraId="564BFACF" w14:textId="77777777" w:rsidR="00820D59" w:rsidRDefault="00820D59" w:rsidP="00820D59">
      <w:pPr>
        <w:pStyle w:val="BodyText"/>
        <w:rPr>
          <w:lang w:eastAsia="ko-KR"/>
        </w:rPr>
      </w:pPr>
      <w:r>
        <w:rPr>
          <w:lang w:eastAsia="ko-KR"/>
        </w:rPr>
        <w:t>Since this exceeds the 3dB margin given under the presence of frequency offset in IEC PAS 63343, it is expected that it will be difficult to satisfy the receiver sensitivity requirement when the same receiver sensitivity requirement as that of ASM is applied.</w:t>
      </w:r>
    </w:p>
    <w:p w14:paraId="3BE1B576" w14:textId="77777777" w:rsidR="00820D59" w:rsidRPr="00BA0FBE" w:rsidRDefault="00044A36" w:rsidP="00BA0FBE">
      <w:pPr>
        <w:rPr>
          <w:rFonts w:ascii="Calibri" w:hAnsi="Calibri"/>
          <w:lang w:eastAsia="ko-KR"/>
        </w:rPr>
      </w:pPr>
      <w:r w:rsidRPr="00044A36">
        <w:rPr>
          <w:rFonts w:ascii="Calibri" w:hAnsi="Calibri"/>
          <w:lang w:eastAsia="ko-KR"/>
        </w:rPr>
        <w:t xml:space="preserve">Therefore, for Link ID 11 and 17 operating in the low SNR region, it is considered that a sufficient </w:t>
      </w:r>
      <w:r w:rsidR="00200030">
        <w:rPr>
          <w:rFonts w:ascii="Calibri" w:hAnsi="Calibri"/>
          <w:lang w:eastAsia="ko-KR"/>
        </w:rPr>
        <w:t>receiver</w:t>
      </w:r>
      <w:r w:rsidRPr="00044A36">
        <w:rPr>
          <w:rFonts w:ascii="Calibri" w:hAnsi="Calibri"/>
          <w:lang w:eastAsia="ko-KR"/>
        </w:rPr>
        <w:t xml:space="preserve"> sensitivity margin </w:t>
      </w:r>
      <w:r w:rsidR="002A39E2">
        <w:rPr>
          <w:rFonts w:ascii="Calibri" w:hAnsi="Calibri"/>
          <w:lang w:eastAsia="ko-KR"/>
        </w:rPr>
        <w:t>more than ASM</w:t>
      </w:r>
      <w:r w:rsidR="002A39E2" w:rsidRPr="00044A36">
        <w:rPr>
          <w:rFonts w:ascii="Calibri" w:hAnsi="Calibri"/>
          <w:lang w:eastAsia="ko-KR"/>
        </w:rPr>
        <w:t xml:space="preserve"> </w:t>
      </w:r>
      <w:r w:rsidRPr="00044A36">
        <w:rPr>
          <w:rFonts w:ascii="Calibri" w:hAnsi="Calibri"/>
          <w:lang w:eastAsia="ko-KR"/>
        </w:rPr>
        <w:t xml:space="preserve">is required in the presence of frequency offset, </w:t>
      </w:r>
      <w:r w:rsidR="002A39E2">
        <w:rPr>
          <w:rFonts w:ascii="Calibri" w:hAnsi="Calibri"/>
          <w:lang w:eastAsia="ko-KR"/>
        </w:rPr>
        <w:t xml:space="preserve">and this paper may be referred when developing IEC </w:t>
      </w:r>
      <w:r w:rsidR="00BA0FBE">
        <w:rPr>
          <w:rFonts w:ascii="Calibri" w:hAnsi="Calibri"/>
          <w:lang w:eastAsia="ko-KR"/>
        </w:rPr>
        <w:t xml:space="preserve">test </w:t>
      </w:r>
      <w:r w:rsidR="002A39E2">
        <w:rPr>
          <w:rFonts w:ascii="Calibri" w:hAnsi="Calibri"/>
          <w:lang w:eastAsia="ko-KR"/>
        </w:rPr>
        <w:t>requirement for sensitivity of VDE-TER</w:t>
      </w:r>
      <w:r w:rsidR="00BA0FBE">
        <w:rPr>
          <w:rFonts w:ascii="Calibri" w:hAnsi="Calibri"/>
          <w:lang w:eastAsia="ko-KR"/>
        </w:rPr>
        <w:t>.</w:t>
      </w:r>
    </w:p>
    <w:p w14:paraId="5CFB36AC" w14:textId="77777777" w:rsidR="00820D59" w:rsidRPr="00027D8F" w:rsidRDefault="00820D59" w:rsidP="00820D59">
      <w:pPr>
        <w:pStyle w:val="BodyText"/>
        <w:rPr>
          <w:lang w:eastAsia="ko-KR"/>
        </w:rPr>
      </w:pPr>
    </w:p>
    <w:p w14:paraId="2C6D5747" w14:textId="77777777" w:rsidR="007F3553" w:rsidRPr="007A395D" w:rsidRDefault="007F3553" w:rsidP="007F3553">
      <w:pPr>
        <w:pStyle w:val="Heading1"/>
        <w:numPr>
          <w:ilvl w:val="0"/>
          <w:numId w:val="14"/>
        </w:numPr>
        <w:jc w:val="both"/>
      </w:pPr>
      <w:r w:rsidRPr="007A395D">
        <w:t>References</w:t>
      </w:r>
    </w:p>
    <w:p w14:paraId="79B9FCC1" w14:textId="77777777" w:rsidR="00400F77" w:rsidRPr="00D616C4" w:rsidRDefault="00BA0FBE" w:rsidP="001D5864">
      <w:pPr>
        <w:pStyle w:val="References"/>
        <w:numPr>
          <w:ilvl w:val="0"/>
          <w:numId w:val="0"/>
        </w:numPr>
        <w:ind w:left="567"/>
        <w:jc w:val="both"/>
        <w:rPr>
          <w:lang w:eastAsia="ko-KR"/>
        </w:rPr>
      </w:pPr>
      <w:r>
        <w:rPr>
          <w:rFonts w:hint="eastAsia"/>
          <w:lang w:eastAsia="ko-KR"/>
        </w:rPr>
        <w:t>N</w:t>
      </w:r>
      <w:r>
        <w:rPr>
          <w:lang w:eastAsia="ko-KR"/>
        </w:rPr>
        <w:t>/A</w:t>
      </w:r>
    </w:p>
    <w:p w14:paraId="6F2280A1" w14:textId="77777777" w:rsidR="007F3553" w:rsidRPr="007A395D" w:rsidRDefault="007F3553" w:rsidP="007F3553">
      <w:pPr>
        <w:pStyle w:val="Heading1"/>
        <w:numPr>
          <w:ilvl w:val="0"/>
          <w:numId w:val="14"/>
        </w:numPr>
        <w:jc w:val="both"/>
      </w:pPr>
      <w:r w:rsidRPr="007A395D">
        <w:t>Action requested of the Committee</w:t>
      </w:r>
    </w:p>
    <w:p w14:paraId="19AD9EE5" w14:textId="77777777" w:rsidR="004D1D85" w:rsidRDefault="007C1E71" w:rsidP="007C1E71">
      <w:pPr>
        <w:pStyle w:val="BodyText"/>
        <w:rPr>
          <w:lang w:eastAsia="ko-KR"/>
        </w:rPr>
      </w:pPr>
      <w:r w:rsidRPr="007A395D">
        <w:t>The Committee is requested to</w:t>
      </w:r>
      <w:r>
        <w:t xml:space="preserve"> note the information and take appropriate action.</w:t>
      </w:r>
    </w:p>
    <w:p w14:paraId="34B57B27" w14:textId="77777777" w:rsidR="00BE3D7C" w:rsidRPr="00BE3D7C" w:rsidRDefault="00BE3D7C" w:rsidP="007C1E71">
      <w:pPr>
        <w:pStyle w:val="BodyText"/>
        <w:rPr>
          <w:lang w:eastAsia="ko-KR"/>
        </w:rPr>
      </w:pPr>
    </w:p>
    <w:sectPr w:rsidR="00BE3D7C" w:rsidRPr="00BE3D7C" w:rsidSect="0086390D">
      <w:headerReference w:type="even" r:id="rId21"/>
      <w:headerReference w:type="default" r:id="rId22"/>
      <w:footerReference w:type="default" r:id="rId23"/>
      <w:headerReference w:type="first" r:id="rId24"/>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DAE8C" w14:textId="77777777" w:rsidR="008244E7" w:rsidRDefault="008244E7" w:rsidP="00362CD9">
      <w:r>
        <w:separator/>
      </w:r>
    </w:p>
  </w:endnote>
  <w:endnote w:type="continuationSeparator" w:id="0">
    <w:p w14:paraId="00CD82C4" w14:textId="77777777" w:rsidR="008244E7" w:rsidRDefault="008244E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5AAC4" w14:textId="77777777" w:rsidR="00955C29" w:rsidRPr="00036B9E" w:rsidRDefault="00FA0CB9">
    <w:pPr>
      <w:pStyle w:val="Footer"/>
      <w:rPr>
        <w:rFonts w:ascii="Calibri" w:hAnsi="Calibri"/>
      </w:rPr>
    </w:pPr>
    <w:r w:rsidRPr="00FA0CB9">
      <w:rPr>
        <w:rFonts w:ascii="Calibri" w:hAnsi="Calibri"/>
        <w:color w:val="000000" w:themeColor="text1"/>
        <w:sz w:val="20"/>
        <w:szCs w:val="20"/>
        <w:lang w:val="en-US" w:eastAsia="ko-KR"/>
      </w:rPr>
      <w:t>Review of VDE-TER Sensitivity Requirements</w:t>
    </w:r>
    <w:r w:rsidR="00955C29" w:rsidRPr="00036B9E">
      <w:rPr>
        <w:rFonts w:ascii="Calibri" w:hAnsi="Calibri"/>
      </w:rPr>
      <w:tab/>
    </w:r>
    <w:r w:rsidR="00955C29" w:rsidRPr="00036B9E">
      <w:rPr>
        <w:rFonts w:ascii="Calibri" w:hAnsi="Calibri"/>
      </w:rPr>
      <w:fldChar w:fldCharType="begin"/>
    </w:r>
    <w:r w:rsidR="00955C29" w:rsidRPr="00036B9E">
      <w:rPr>
        <w:rFonts w:ascii="Calibri" w:hAnsi="Calibri"/>
      </w:rPr>
      <w:instrText xml:space="preserve"> PAGE   \* MERGEFORMAT </w:instrText>
    </w:r>
    <w:r w:rsidR="00955C29" w:rsidRPr="00036B9E">
      <w:rPr>
        <w:rFonts w:ascii="Calibri" w:hAnsi="Calibri"/>
      </w:rPr>
      <w:fldChar w:fldCharType="separate"/>
    </w:r>
    <w:r w:rsidR="001A4A55">
      <w:rPr>
        <w:rFonts w:ascii="Calibri" w:hAnsi="Calibri"/>
        <w:noProof/>
      </w:rPr>
      <w:t>8</w:t>
    </w:r>
    <w:r w:rsidR="00955C2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9CC76" w14:textId="77777777" w:rsidR="008244E7" w:rsidRDefault="008244E7" w:rsidP="00362CD9">
      <w:r>
        <w:separator/>
      </w:r>
    </w:p>
  </w:footnote>
  <w:footnote w:type="continuationSeparator" w:id="0">
    <w:p w14:paraId="3E8737A9" w14:textId="77777777" w:rsidR="008244E7" w:rsidRDefault="008244E7" w:rsidP="00362CD9">
      <w:r>
        <w:continuationSeparator/>
      </w:r>
    </w:p>
  </w:footnote>
  <w:footnote w:id="1">
    <w:p w14:paraId="18E7759E" w14:textId="77777777" w:rsidR="00955C29" w:rsidRPr="00EA5A97" w:rsidRDefault="00955C29" w:rsidP="007F3553">
      <w:pPr>
        <w:pStyle w:val="FootnoteText"/>
        <w:rPr>
          <w:lang w:val="en-US"/>
        </w:rPr>
      </w:pPr>
      <w:r>
        <w:rPr>
          <w:rStyle w:val="FootnoteReference"/>
        </w:rPr>
        <w:footnoteRef/>
      </w:r>
      <w:r>
        <w:t xml:space="preserve"> </w:t>
      </w:r>
      <w:r w:rsidRPr="00420A38">
        <w:t>Input document number, to be assigned by the Committee Secretary</w:t>
      </w:r>
    </w:p>
  </w:footnote>
  <w:footnote w:id="2">
    <w:p w14:paraId="0297FF8D" w14:textId="77777777" w:rsidR="00955C29" w:rsidRPr="00037DF4" w:rsidRDefault="00955C29" w:rsidP="007F3553">
      <w:pPr>
        <w:pStyle w:val="FootnoteText"/>
      </w:pPr>
      <w:r w:rsidRPr="00037DF4">
        <w:rPr>
          <w:rStyle w:val="FootnoteReference"/>
        </w:rPr>
        <w:footnoteRef/>
      </w:r>
      <w:r w:rsidRPr="00037DF4">
        <w:t xml:space="preserve"> 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D8C15" w14:textId="77777777" w:rsidR="00955C29" w:rsidRDefault="00000000">
    <w:pPr>
      <w:pStyle w:val="Header"/>
    </w:pPr>
    <w:r>
      <w:rPr>
        <w:noProof/>
      </w:rPr>
      <w:pict w14:anchorId="5D93D5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C8BC" w14:textId="77777777" w:rsidR="00955C29" w:rsidRDefault="00955C29" w:rsidP="007A395D">
    <w:pPr>
      <w:pStyle w:val="Header"/>
      <w:jc w:val="right"/>
    </w:pPr>
    <w:r>
      <w:rPr>
        <w:noProof/>
        <w:lang w:val="en-US" w:eastAsia="ko-KR"/>
      </w:rPr>
      <w:drawing>
        <wp:anchor distT="0" distB="0" distL="114300" distR="114300" simplePos="0" relativeHeight="251665408" behindDoc="0" locked="0" layoutInCell="1" allowOverlap="1" wp14:anchorId="4F3221B0" wp14:editId="51432D43">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00000">
      <w:rPr>
        <w:noProof/>
      </w:rPr>
      <w:pict w14:anchorId="2CE184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20DD" w14:textId="77777777" w:rsidR="00955C29" w:rsidRDefault="00955C29" w:rsidP="007A395D">
    <w:pPr>
      <w:pStyle w:val="Header"/>
      <w:jc w:val="center"/>
    </w:pPr>
    <w:r>
      <w:rPr>
        <w:noProof/>
        <w:lang w:val="en-US" w:eastAsia="ko-KR"/>
      </w:rPr>
      <w:drawing>
        <wp:anchor distT="0" distB="0" distL="114300" distR="114300" simplePos="0" relativeHeight="251658240" behindDoc="0" locked="0" layoutInCell="1" allowOverlap="1" wp14:anchorId="192C3264" wp14:editId="4F95F201">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8F3A4B6" w14:textId="77777777" w:rsidR="00955C29" w:rsidRDefault="00955C29" w:rsidP="007A395D">
    <w:pPr>
      <w:pStyle w:val="Header"/>
      <w:jc w:val="center"/>
    </w:pPr>
  </w:p>
  <w:p w14:paraId="1602BF93" w14:textId="77777777" w:rsidR="00955C29" w:rsidRDefault="00000000" w:rsidP="007A395D">
    <w:pPr>
      <w:pStyle w:val="Header"/>
      <w:jc w:val="center"/>
    </w:pPr>
    <w:r>
      <w:rPr>
        <w:noProof/>
      </w:rPr>
      <w:pict w14:anchorId="027C1B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144BAB"/>
    <w:multiLevelType w:val="hybridMultilevel"/>
    <w:tmpl w:val="FB267896"/>
    <w:lvl w:ilvl="0" w:tplc="FEF0F5B0">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9C37E91"/>
    <w:multiLevelType w:val="multilevel"/>
    <w:tmpl w:val="B5E6C8C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color w:val="0070C0"/>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AC2753A"/>
    <w:multiLevelType w:val="hybridMultilevel"/>
    <w:tmpl w:val="52FE35B8"/>
    <w:lvl w:ilvl="0" w:tplc="6FD4B7BC">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3" w15:restartNumberingAfterBreak="0">
    <w:nsid w:val="58F1568C"/>
    <w:multiLevelType w:val="hybridMultilevel"/>
    <w:tmpl w:val="E6B08452"/>
    <w:lvl w:ilvl="0" w:tplc="3E54A7FA">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2F1D12"/>
    <w:multiLevelType w:val="hybridMultilevel"/>
    <w:tmpl w:val="875C4464"/>
    <w:lvl w:ilvl="0" w:tplc="C944B62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226184414">
    <w:abstractNumId w:val="1"/>
  </w:num>
  <w:num w:numId="2" w16cid:durableId="1809083210">
    <w:abstractNumId w:val="0"/>
  </w:num>
  <w:num w:numId="3" w16cid:durableId="593050857">
    <w:abstractNumId w:val="8"/>
  </w:num>
  <w:num w:numId="4" w16cid:durableId="1066223890">
    <w:abstractNumId w:val="25"/>
  </w:num>
  <w:num w:numId="5" w16cid:durableId="128137846">
    <w:abstractNumId w:val="17"/>
  </w:num>
  <w:num w:numId="6" w16cid:durableId="72049596">
    <w:abstractNumId w:val="4"/>
  </w:num>
  <w:num w:numId="7" w16cid:durableId="273944682">
    <w:abstractNumId w:val="27"/>
  </w:num>
  <w:num w:numId="8" w16cid:durableId="1508012292">
    <w:abstractNumId w:val="11"/>
  </w:num>
  <w:num w:numId="9" w16cid:durableId="19823137">
    <w:abstractNumId w:val="9"/>
  </w:num>
  <w:num w:numId="10" w16cid:durableId="423959964">
    <w:abstractNumId w:val="19"/>
  </w:num>
  <w:num w:numId="11" w16cid:durableId="1317807594">
    <w:abstractNumId w:val="18"/>
  </w:num>
  <w:num w:numId="12" w16cid:durableId="1064185928">
    <w:abstractNumId w:val="16"/>
  </w:num>
  <w:num w:numId="13" w16cid:durableId="661398788">
    <w:abstractNumId w:val="26"/>
  </w:num>
  <w:num w:numId="14" w16cid:durableId="105585287">
    <w:abstractNumId w:val="6"/>
  </w:num>
  <w:num w:numId="15" w16cid:durableId="563565453">
    <w:abstractNumId w:val="28"/>
  </w:num>
  <w:num w:numId="16" w16cid:durableId="1388185741">
    <w:abstractNumId w:val="15"/>
  </w:num>
  <w:num w:numId="17" w16cid:durableId="1484662938">
    <w:abstractNumId w:val="7"/>
  </w:num>
  <w:num w:numId="18" w16cid:durableId="643584609">
    <w:abstractNumId w:val="21"/>
  </w:num>
  <w:num w:numId="19" w16cid:durableId="404305443">
    <w:abstractNumId w:val="15"/>
  </w:num>
  <w:num w:numId="20" w16cid:durableId="1013802815">
    <w:abstractNumId w:val="15"/>
  </w:num>
  <w:num w:numId="21" w16cid:durableId="1787850102">
    <w:abstractNumId w:val="15"/>
  </w:num>
  <w:num w:numId="22" w16cid:durableId="826170313">
    <w:abstractNumId w:val="15"/>
  </w:num>
  <w:num w:numId="23" w16cid:durableId="387842752">
    <w:abstractNumId w:val="22"/>
  </w:num>
  <w:num w:numId="24" w16cid:durableId="1564634031">
    <w:abstractNumId w:val="3"/>
  </w:num>
  <w:num w:numId="25" w16cid:durableId="37054017">
    <w:abstractNumId w:val="3"/>
  </w:num>
  <w:num w:numId="26" w16cid:durableId="316961279">
    <w:abstractNumId w:val="3"/>
  </w:num>
  <w:num w:numId="27" w16cid:durableId="371424907">
    <w:abstractNumId w:val="10"/>
  </w:num>
  <w:num w:numId="28" w16cid:durableId="2032797472">
    <w:abstractNumId w:val="10"/>
  </w:num>
  <w:num w:numId="29" w16cid:durableId="763840276">
    <w:abstractNumId w:val="10"/>
  </w:num>
  <w:num w:numId="30" w16cid:durableId="1745294570">
    <w:abstractNumId w:val="10"/>
  </w:num>
  <w:num w:numId="31" w16cid:durableId="142623683">
    <w:abstractNumId w:val="10"/>
  </w:num>
  <w:num w:numId="32" w16cid:durableId="3092884">
    <w:abstractNumId w:val="10"/>
  </w:num>
  <w:num w:numId="33" w16cid:durableId="893078167">
    <w:abstractNumId w:val="20"/>
  </w:num>
  <w:num w:numId="34" w16cid:durableId="46690684">
    <w:abstractNumId w:val="20"/>
  </w:num>
  <w:num w:numId="35" w16cid:durableId="1557929230">
    <w:abstractNumId w:val="20"/>
  </w:num>
  <w:num w:numId="36" w16cid:durableId="593369369">
    <w:abstractNumId w:val="13"/>
  </w:num>
  <w:num w:numId="37" w16cid:durableId="414516931">
    <w:abstractNumId w:val="6"/>
  </w:num>
  <w:num w:numId="38" w16cid:durableId="136801109">
    <w:abstractNumId w:val="16"/>
  </w:num>
  <w:num w:numId="39" w16cid:durableId="5246357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15568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73240195">
    <w:abstractNumId w:val="2"/>
  </w:num>
  <w:num w:numId="42" w16cid:durableId="13899549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49990553">
    <w:abstractNumId w:val="2"/>
  </w:num>
  <w:num w:numId="44" w16cid:durableId="1498837891">
    <w:abstractNumId w:val="14"/>
  </w:num>
  <w:num w:numId="45" w16cid:durableId="212890771">
    <w:abstractNumId w:val="24"/>
  </w:num>
  <w:num w:numId="46" w16cid:durableId="2004579872">
    <w:abstractNumId w:val="23"/>
  </w:num>
  <w:num w:numId="47" w16cid:durableId="1191144407">
    <w:abstractNumId w:val="5"/>
  </w:num>
  <w:num w:numId="48" w16cid:durableId="336885485">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4CD"/>
    <w:rsid w:val="000005D3"/>
    <w:rsid w:val="000049D8"/>
    <w:rsid w:val="0000760F"/>
    <w:rsid w:val="00010878"/>
    <w:rsid w:val="000110E3"/>
    <w:rsid w:val="00015786"/>
    <w:rsid w:val="00017D55"/>
    <w:rsid w:val="00020808"/>
    <w:rsid w:val="00020C80"/>
    <w:rsid w:val="000258B0"/>
    <w:rsid w:val="00027AA1"/>
    <w:rsid w:val="00027D8F"/>
    <w:rsid w:val="0003120A"/>
    <w:rsid w:val="0003646C"/>
    <w:rsid w:val="00036B9E"/>
    <w:rsid w:val="00037DF4"/>
    <w:rsid w:val="00044A36"/>
    <w:rsid w:val="00046121"/>
    <w:rsid w:val="0004700E"/>
    <w:rsid w:val="00057EC9"/>
    <w:rsid w:val="00060243"/>
    <w:rsid w:val="000609E2"/>
    <w:rsid w:val="00063C2C"/>
    <w:rsid w:val="00066DB0"/>
    <w:rsid w:val="00070C13"/>
    <w:rsid w:val="000715C9"/>
    <w:rsid w:val="00074AE6"/>
    <w:rsid w:val="00075A87"/>
    <w:rsid w:val="00082CD2"/>
    <w:rsid w:val="00084F33"/>
    <w:rsid w:val="00092BE7"/>
    <w:rsid w:val="00093FE7"/>
    <w:rsid w:val="0009639F"/>
    <w:rsid w:val="0009697E"/>
    <w:rsid w:val="000A15FA"/>
    <w:rsid w:val="000A16A3"/>
    <w:rsid w:val="000A5D1C"/>
    <w:rsid w:val="000A77A7"/>
    <w:rsid w:val="000B1707"/>
    <w:rsid w:val="000B4AEB"/>
    <w:rsid w:val="000C0EA2"/>
    <w:rsid w:val="000C1B3E"/>
    <w:rsid w:val="000C26E3"/>
    <w:rsid w:val="000C2A84"/>
    <w:rsid w:val="000D17FE"/>
    <w:rsid w:val="000D2932"/>
    <w:rsid w:val="000D5AB3"/>
    <w:rsid w:val="000D612E"/>
    <w:rsid w:val="000F0B8E"/>
    <w:rsid w:val="001031D7"/>
    <w:rsid w:val="00103F93"/>
    <w:rsid w:val="00110AE7"/>
    <w:rsid w:val="00112BD1"/>
    <w:rsid w:val="00122DD8"/>
    <w:rsid w:val="001273B1"/>
    <w:rsid w:val="00132F2A"/>
    <w:rsid w:val="001366C1"/>
    <w:rsid w:val="001368C8"/>
    <w:rsid w:val="001444BB"/>
    <w:rsid w:val="001448BD"/>
    <w:rsid w:val="00147DE0"/>
    <w:rsid w:val="001541BE"/>
    <w:rsid w:val="0015773E"/>
    <w:rsid w:val="00165DD7"/>
    <w:rsid w:val="00173FBA"/>
    <w:rsid w:val="00174FBD"/>
    <w:rsid w:val="001773FF"/>
    <w:rsid w:val="00177DF5"/>
    <w:rsid w:val="00177F4D"/>
    <w:rsid w:val="00180DDA"/>
    <w:rsid w:val="00181A6F"/>
    <w:rsid w:val="00181D4B"/>
    <w:rsid w:val="001834FF"/>
    <w:rsid w:val="00187C0C"/>
    <w:rsid w:val="00197B7C"/>
    <w:rsid w:val="00197C72"/>
    <w:rsid w:val="001A4A55"/>
    <w:rsid w:val="001A5FA1"/>
    <w:rsid w:val="001B09C5"/>
    <w:rsid w:val="001B2A2D"/>
    <w:rsid w:val="001B4717"/>
    <w:rsid w:val="001B737D"/>
    <w:rsid w:val="001C3211"/>
    <w:rsid w:val="001C44A3"/>
    <w:rsid w:val="001C580C"/>
    <w:rsid w:val="001D13D4"/>
    <w:rsid w:val="001D1805"/>
    <w:rsid w:val="001D4587"/>
    <w:rsid w:val="001D5864"/>
    <w:rsid w:val="001E0E15"/>
    <w:rsid w:val="001E5D8F"/>
    <w:rsid w:val="001E5E09"/>
    <w:rsid w:val="001E7500"/>
    <w:rsid w:val="001F0659"/>
    <w:rsid w:val="001F2C7E"/>
    <w:rsid w:val="001F3A55"/>
    <w:rsid w:val="001F528A"/>
    <w:rsid w:val="001F5981"/>
    <w:rsid w:val="001F704E"/>
    <w:rsid w:val="001F7AA1"/>
    <w:rsid w:val="00200030"/>
    <w:rsid w:val="00200B60"/>
    <w:rsid w:val="00201722"/>
    <w:rsid w:val="00202149"/>
    <w:rsid w:val="00204694"/>
    <w:rsid w:val="00206887"/>
    <w:rsid w:val="00206B01"/>
    <w:rsid w:val="002124A9"/>
    <w:rsid w:val="002125B0"/>
    <w:rsid w:val="00223D8A"/>
    <w:rsid w:val="002240C1"/>
    <w:rsid w:val="0023035A"/>
    <w:rsid w:val="0023082A"/>
    <w:rsid w:val="00232921"/>
    <w:rsid w:val="002332DB"/>
    <w:rsid w:val="00233523"/>
    <w:rsid w:val="00233AD6"/>
    <w:rsid w:val="00233E2D"/>
    <w:rsid w:val="0023607C"/>
    <w:rsid w:val="002426A4"/>
    <w:rsid w:val="00243228"/>
    <w:rsid w:val="00245014"/>
    <w:rsid w:val="00245BDF"/>
    <w:rsid w:val="00251483"/>
    <w:rsid w:val="002527E1"/>
    <w:rsid w:val="00254BF0"/>
    <w:rsid w:val="00255CAA"/>
    <w:rsid w:val="00256890"/>
    <w:rsid w:val="002635E9"/>
    <w:rsid w:val="00264305"/>
    <w:rsid w:val="002655CB"/>
    <w:rsid w:val="00265E78"/>
    <w:rsid w:val="00273104"/>
    <w:rsid w:val="00275C03"/>
    <w:rsid w:val="0027711D"/>
    <w:rsid w:val="00283884"/>
    <w:rsid w:val="00293357"/>
    <w:rsid w:val="00293D7D"/>
    <w:rsid w:val="002972E7"/>
    <w:rsid w:val="002A0346"/>
    <w:rsid w:val="002A3512"/>
    <w:rsid w:val="002A39E2"/>
    <w:rsid w:val="002A4487"/>
    <w:rsid w:val="002A5E73"/>
    <w:rsid w:val="002A7697"/>
    <w:rsid w:val="002B3E7A"/>
    <w:rsid w:val="002B49E9"/>
    <w:rsid w:val="002B56EC"/>
    <w:rsid w:val="002C4D99"/>
    <w:rsid w:val="002C632E"/>
    <w:rsid w:val="002D22CD"/>
    <w:rsid w:val="002D3E8B"/>
    <w:rsid w:val="002D4575"/>
    <w:rsid w:val="002D5C0C"/>
    <w:rsid w:val="002E03D1"/>
    <w:rsid w:val="002E0C7D"/>
    <w:rsid w:val="002E362B"/>
    <w:rsid w:val="002E6B74"/>
    <w:rsid w:val="002E6FCA"/>
    <w:rsid w:val="002F2CB5"/>
    <w:rsid w:val="002F47A6"/>
    <w:rsid w:val="002F5F0A"/>
    <w:rsid w:val="002F73D4"/>
    <w:rsid w:val="0030049A"/>
    <w:rsid w:val="0030308B"/>
    <w:rsid w:val="003030CA"/>
    <w:rsid w:val="0030775A"/>
    <w:rsid w:val="003131B2"/>
    <w:rsid w:val="00313B9C"/>
    <w:rsid w:val="00317687"/>
    <w:rsid w:val="00321DA2"/>
    <w:rsid w:val="00323ACE"/>
    <w:rsid w:val="0032465C"/>
    <w:rsid w:val="0032565E"/>
    <w:rsid w:val="003268D2"/>
    <w:rsid w:val="00330B13"/>
    <w:rsid w:val="003322A2"/>
    <w:rsid w:val="0033267A"/>
    <w:rsid w:val="00335209"/>
    <w:rsid w:val="00335F94"/>
    <w:rsid w:val="0034003E"/>
    <w:rsid w:val="003413E8"/>
    <w:rsid w:val="00345136"/>
    <w:rsid w:val="00345D31"/>
    <w:rsid w:val="00347942"/>
    <w:rsid w:val="003503BE"/>
    <w:rsid w:val="003520E9"/>
    <w:rsid w:val="003549CE"/>
    <w:rsid w:val="00356CD0"/>
    <w:rsid w:val="003600FF"/>
    <w:rsid w:val="00362CD9"/>
    <w:rsid w:val="00363BA5"/>
    <w:rsid w:val="003644EA"/>
    <w:rsid w:val="0036630C"/>
    <w:rsid w:val="00366691"/>
    <w:rsid w:val="003677AC"/>
    <w:rsid w:val="00367D3C"/>
    <w:rsid w:val="00370074"/>
    <w:rsid w:val="0037310B"/>
    <w:rsid w:val="00373C00"/>
    <w:rsid w:val="00373C99"/>
    <w:rsid w:val="003761CA"/>
    <w:rsid w:val="00380DAF"/>
    <w:rsid w:val="00383B35"/>
    <w:rsid w:val="00383FF0"/>
    <w:rsid w:val="00386557"/>
    <w:rsid w:val="00387D06"/>
    <w:rsid w:val="003972CE"/>
    <w:rsid w:val="003A1C04"/>
    <w:rsid w:val="003B1DB7"/>
    <w:rsid w:val="003B25B0"/>
    <w:rsid w:val="003B28F5"/>
    <w:rsid w:val="003B340D"/>
    <w:rsid w:val="003B6D9B"/>
    <w:rsid w:val="003B7B7D"/>
    <w:rsid w:val="003C43D6"/>
    <w:rsid w:val="003C54CB"/>
    <w:rsid w:val="003C5DCA"/>
    <w:rsid w:val="003C62FA"/>
    <w:rsid w:val="003C7A2A"/>
    <w:rsid w:val="003D2DC1"/>
    <w:rsid w:val="003D577B"/>
    <w:rsid w:val="003D69D0"/>
    <w:rsid w:val="003E0FF4"/>
    <w:rsid w:val="003F2918"/>
    <w:rsid w:val="003F430E"/>
    <w:rsid w:val="003F4CDD"/>
    <w:rsid w:val="003F6656"/>
    <w:rsid w:val="00400F61"/>
    <w:rsid w:val="00400F77"/>
    <w:rsid w:val="004041C7"/>
    <w:rsid w:val="004059B4"/>
    <w:rsid w:val="0040733D"/>
    <w:rsid w:val="00410310"/>
    <w:rsid w:val="0041088C"/>
    <w:rsid w:val="00411E76"/>
    <w:rsid w:val="00412EAF"/>
    <w:rsid w:val="004147C7"/>
    <w:rsid w:val="00415EB6"/>
    <w:rsid w:val="0041713B"/>
    <w:rsid w:val="00417E4E"/>
    <w:rsid w:val="00420A38"/>
    <w:rsid w:val="0042462D"/>
    <w:rsid w:val="00424F72"/>
    <w:rsid w:val="004252EA"/>
    <w:rsid w:val="004269D3"/>
    <w:rsid w:val="00431B19"/>
    <w:rsid w:val="00442967"/>
    <w:rsid w:val="00442DFC"/>
    <w:rsid w:val="00450BAD"/>
    <w:rsid w:val="00456BAC"/>
    <w:rsid w:val="00457C85"/>
    <w:rsid w:val="00460A09"/>
    <w:rsid w:val="004661AD"/>
    <w:rsid w:val="00466918"/>
    <w:rsid w:val="00467BE5"/>
    <w:rsid w:val="00473B82"/>
    <w:rsid w:val="00474A73"/>
    <w:rsid w:val="004855DA"/>
    <w:rsid w:val="0048564E"/>
    <w:rsid w:val="0048596A"/>
    <w:rsid w:val="00495B24"/>
    <w:rsid w:val="00496491"/>
    <w:rsid w:val="004A11A1"/>
    <w:rsid w:val="004A3B1A"/>
    <w:rsid w:val="004A79E7"/>
    <w:rsid w:val="004A7E72"/>
    <w:rsid w:val="004B0B52"/>
    <w:rsid w:val="004B405E"/>
    <w:rsid w:val="004B767A"/>
    <w:rsid w:val="004C05DA"/>
    <w:rsid w:val="004C08CF"/>
    <w:rsid w:val="004C1445"/>
    <w:rsid w:val="004C1FD5"/>
    <w:rsid w:val="004C3C39"/>
    <w:rsid w:val="004C5848"/>
    <w:rsid w:val="004D1D85"/>
    <w:rsid w:val="004D2331"/>
    <w:rsid w:val="004D3C3A"/>
    <w:rsid w:val="004D4638"/>
    <w:rsid w:val="004E1CD1"/>
    <w:rsid w:val="004E33B0"/>
    <w:rsid w:val="004E4CDD"/>
    <w:rsid w:val="004E54B7"/>
    <w:rsid w:val="004F061F"/>
    <w:rsid w:val="004F655B"/>
    <w:rsid w:val="0050092B"/>
    <w:rsid w:val="00500A5E"/>
    <w:rsid w:val="00506630"/>
    <w:rsid w:val="005107EB"/>
    <w:rsid w:val="00521345"/>
    <w:rsid w:val="005231F5"/>
    <w:rsid w:val="00526DF0"/>
    <w:rsid w:val="00527B86"/>
    <w:rsid w:val="005301A2"/>
    <w:rsid w:val="0053100E"/>
    <w:rsid w:val="00531906"/>
    <w:rsid w:val="005333BC"/>
    <w:rsid w:val="00533AD8"/>
    <w:rsid w:val="0053532E"/>
    <w:rsid w:val="0054091D"/>
    <w:rsid w:val="00540D5F"/>
    <w:rsid w:val="00542DA4"/>
    <w:rsid w:val="00543831"/>
    <w:rsid w:val="00543B0D"/>
    <w:rsid w:val="00545CC4"/>
    <w:rsid w:val="00551FFF"/>
    <w:rsid w:val="005574A5"/>
    <w:rsid w:val="005607A2"/>
    <w:rsid w:val="005633CF"/>
    <w:rsid w:val="00563C82"/>
    <w:rsid w:val="005648DE"/>
    <w:rsid w:val="00565693"/>
    <w:rsid w:val="005664DB"/>
    <w:rsid w:val="00567C82"/>
    <w:rsid w:val="00570B6D"/>
    <w:rsid w:val="0057198B"/>
    <w:rsid w:val="00573CFE"/>
    <w:rsid w:val="005755D9"/>
    <w:rsid w:val="00577104"/>
    <w:rsid w:val="00577E20"/>
    <w:rsid w:val="00586B6F"/>
    <w:rsid w:val="0059209E"/>
    <w:rsid w:val="005969F2"/>
    <w:rsid w:val="00597FAE"/>
    <w:rsid w:val="005A121E"/>
    <w:rsid w:val="005A1590"/>
    <w:rsid w:val="005A2ABE"/>
    <w:rsid w:val="005A2C1B"/>
    <w:rsid w:val="005B0D23"/>
    <w:rsid w:val="005B3140"/>
    <w:rsid w:val="005B32A3"/>
    <w:rsid w:val="005C0D44"/>
    <w:rsid w:val="005C566C"/>
    <w:rsid w:val="005C7E69"/>
    <w:rsid w:val="005D0B90"/>
    <w:rsid w:val="005D6405"/>
    <w:rsid w:val="005E0134"/>
    <w:rsid w:val="005E14DA"/>
    <w:rsid w:val="005E262D"/>
    <w:rsid w:val="005E2DD6"/>
    <w:rsid w:val="005F23D3"/>
    <w:rsid w:val="005F260D"/>
    <w:rsid w:val="005F2DE3"/>
    <w:rsid w:val="005F2F98"/>
    <w:rsid w:val="005F4455"/>
    <w:rsid w:val="005F6515"/>
    <w:rsid w:val="005F7E20"/>
    <w:rsid w:val="00600AD8"/>
    <w:rsid w:val="006028CC"/>
    <w:rsid w:val="00605E43"/>
    <w:rsid w:val="006143AD"/>
    <w:rsid w:val="006153BB"/>
    <w:rsid w:val="006346D9"/>
    <w:rsid w:val="006376E4"/>
    <w:rsid w:val="0064066E"/>
    <w:rsid w:val="00645055"/>
    <w:rsid w:val="006502EB"/>
    <w:rsid w:val="00656328"/>
    <w:rsid w:val="00660737"/>
    <w:rsid w:val="006632F5"/>
    <w:rsid w:val="006652C3"/>
    <w:rsid w:val="00665DD6"/>
    <w:rsid w:val="0066667A"/>
    <w:rsid w:val="00671CBD"/>
    <w:rsid w:val="00673E88"/>
    <w:rsid w:val="0067559D"/>
    <w:rsid w:val="0067586A"/>
    <w:rsid w:val="0067706B"/>
    <w:rsid w:val="0067764D"/>
    <w:rsid w:val="00683E54"/>
    <w:rsid w:val="00685064"/>
    <w:rsid w:val="00686055"/>
    <w:rsid w:val="00691FD0"/>
    <w:rsid w:val="00692148"/>
    <w:rsid w:val="0069263E"/>
    <w:rsid w:val="006A1A1E"/>
    <w:rsid w:val="006A1F7B"/>
    <w:rsid w:val="006A2B54"/>
    <w:rsid w:val="006A69D0"/>
    <w:rsid w:val="006A7E45"/>
    <w:rsid w:val="006B1D69"/>
    <w:rsid w:val="006B3B20"/>
    <w:rsid w:val="006B3B2D"/>
    <w:rsid w:val="006B58A4"/>
    <w:rsid w:val="006B6DD8"/>
    <w:rsid w:val="006C12B2"/>
    <w:rsid w:val="006C5948"/>
    <w:rsid w:val="006C68DD"/>
    <w:rsid w:val="006E5B27"/>
    <w:rsid w:val="006E5DDC"/>
    <w:rsid w:val="006F1EF6"/>
    <w:rsid w:val="006F2A74"/>
    <w:rsid w:val="006F3A92"/>
    <w:rsid w:val="006F4CFC"/>
    <w:rsid w:val="006F4F07"/>
    <w:rsid w:val="006F4FE9"/>
    <w:rsid w:val="006F6199"/>
    <w:rsid w:val="00702C59"/>
    <w:rsid w:val="00705573"/>
    <w:rsid w:val="00711058"/>
    <w:rsid w:val="007118F5"/>
    <w:rsid w:val="00712012"/>
    <w:rsid w:val="00712AA4"/>
    <w:rsid w:val="00713038"/>
    <w:rsid w:val="007146C4"/>
    <w:rsid w:val="00715C33"/>
    <w:rsid w:val="00716DC8"/>
    <w:rsid w:val="0072047F"/>
    <w:rsid w:val="00721AA1"/>
    <w:rsid w:val="007241DB"/>
    <w:rsid w:val="00724B67"/>
    <w:rsid w:val="00733A4A"/>
    <w:rsid w:val="00744D8F"/>
    <w:rsid w:val="00746A0F"/>
    <w:rsid w:val="00746D19"/>
    <w:rsid w:val="0075408C"/>
    <w:rsid w:val="007547F8"/>
    <w:rsid w:val="00765622"/>
    <w:rsid w:val="00765FB1"/>
    <w:rsid w:val="00770B6C"/>
    <w:rsid w:val="0077619D"/>
    <w:rsid w:val="00776765"/>
    <w:rsid w:val="00783FEA"/>
    <w:rsid w:val="007943F0"/>
    <w:rsid w:val="00794A72"/>
    <w:rsid w:val="00795A4F"/>
    <w:rsid w:val="00795C21"/>
    <w:rsid w:val="00796882"/>
    <w:rsid w:val="00797225"/>
    <w:rsid w:val="007974F2"/>
    <w:rsid w:val="00797CE0"/>
    <w:rsid w:val="007A3268"/>
    <w:rsid w:val="007A395D"/>
    <w:rsid w:val="007A4431"/>
    <w:rsid w:val="007A49F0"/>
    <w:rsid w:val="007C1E71"/>
    <w:rsid w:val="007C2D1A"/>
    <w:rsid w:val="007C346C"/>
    <w:rsid w:val="007C5218"/>
    <w:rsid w:val="007D34B0"/>
    <w:rsid w:val="007D475C"/>
    <w:rsid w:val="007D690E"/>
    <w:rsid w:val="007E1468"/>
    <w:rsid w:val="007E21B5"/>
    <w:rsid w:val="007E5172"/>
    <w:rsid w:val="007E5FA6"/>
    <w:rsid w:val="007F3553"/>
    <w:rsid w:val="007F6CD6"/>
    <w:rsid w:val="0080294B"/>
    <w:rsid w:val="00815254"/>
    <w:rsid w:val="00816FB3"/>
    <w:rsid w:val="00820D59"/>
    <w:rsid w:val="008211BE"/>
    <w:rsid w:val="00823FB5"/>
    <w:rsid w:val="008244E7"/>
    <w:rsid w:val="0082480E"/>
    <w:rsid w:val="00824C65"/>
    <w:rsid w:val="0082795A"/>
    <w:rsid w:val="00837414"/>
    <w:rsid w:val="0084753E"/>
    <w:rsid w:val="00850293"/>
    <w:rsid w:val="00850AD2"/>
    <w:rsid w:val="00850CCE"/>
    <w:rsid w:val="00851373"/>
    <w:rsid w:val="00851BA6"/>
    <w:rsid w:val="008523AD"/>
    <w:rsid w:val="0085654D"/>
    <w:rsid w:val="00856CB2"/>
    <w:rsid w:val="0086046A"/>
    <w:rsid w:val="00861160"/>
    <w:rsid w:val="0086390D"/>
    <w:rsid w:val="0086654F"/>
    <w:rsid w:val="00866566"/>
    <w:rsid w:val="00866BF8"/>
    <w:rsid w:val="00871BED"/>
    <w:rsid w:val="0087335F"/>
    <w:rsid w:val="00873364"/>
    <w:rsid w:val="008812C4"/>
    <w:rsid w:val="00882682"/>
    <w:rsid w:val="0088634E"/>
    <w:rsid w:val="00887C18"/>
    <w:rsid w:val="008A23D8"/>
    <w:rsid w:val="008A356F"/>
    <w:rsid w:val="008A4653"/>
    <w:rsid w:val="008A4717"/>
    <w:rsid w:val="008A50CC"/>
    <w:rsid w:val="008A70D0"/>
    <w:rsid w:val="008B0493"/>
    <w:rsid w:val="008B1327"/>
    <w:rsid w:val="008B38B8"/>
    <w:rsid w:val="008B44EB"/>
    <w:rsid w:val="008B686C"/>
    <w:rsid w:val="008B6E61"/>
    <w:rsid w:val="008B71A4"/>
    <w:rsid w:val="008B7C08"/>
    <w:rsid w:val="008C0F86"/>
    <w:rsid w:val="008C53AA"/>
    <w:rsid w:val="008C7322"/>
    <w:rsid w:val="008C7827"/>
    <w:rsid w:val="008D109E"/>
    <w:rsid w:val="008D1694"/>
    <w:rsid w:val="008D4CFD"/>
    <w:rsid w:val="008D56BC"/>
    <w:rsid w:val="008D6216"/>
    <w:rsid w:val="008D76B8"/>
    <w:rsid w:val="008D79CB"/>
    <w:rsid w:val="008E0E4D"/>
    <w:rsid w:val="008E2409"/>
    <w:rsid w:val="008E40F1"/>
    <w:rsid w:val="008E43D2"/>
    <w:rsid w:val="008E61FC"/>
    <w:rsid w:val="008F07BC"/>
    <w:rsid w:val="008F18C4"/>
    <w:rsid w:val="008F4400"/>
    <w:rsid w:val="009004B9"/>
    <w:rsid w:val="00902A9F"/>
    <w:rsid w:val="00907A0E"/>
    <w:rsid w:val="00907F6A"/>
    <w:rsid w:val="00914600"/>
    <w:rsid w:val="00922B29"/>
    <w:rsid w:val="00922F01"/>
    <w:rsid w:val="0092692B"/>
    <w:rsid w:val="0093150B"/>
    <w:rsid w:val="009332CC"/>
    <w:rsid w:val="009409F2"/>
    <w:rsid w:val="00941175"/>
    <w:rsid w:val="00941750"/>
    <w:rsid w:val="009435AA"/>
    <w:rsid w:val="00943E9C"/>
    <w:rsid w:val="009445B4"/>
    <w:rsid w:val="00946D9F"/>
    <w:rsid w:val="0094718B"/>
    <w:rsid w:val="0095398C"/>
    <w:rsid w:val="00953F4D"/>
    <w:rsid w:val="00954807"/>
    <w:rsid w:val="00955C29"/>
    <w:rsid w:val="00960BB8"/>
    <w:rsid w:val="0096122C"/>
    <w:rsid w:val="00964831"/>
    <w:rsid w:val="00964F5C"/>
    <w:rsid w:val="0096575B"/>
    <w:rsid w:val="00966ECC"/>
    <w:rsid w:val="00973AFE"/>
    <w:rsid w:val="009751FE"/>
    <w:rsid w:val="00975C95"/>
    <w:rsid w:val="00981935"/>
    <w:rsid w:val="009823EB"/>
    <w:rsid w:val="009831C0"/>
    <w:rsid w:val="00985431"/>
    <w:rsid w:val="00985B6B"/>
    <w:rsid w:val="00990537"/>
    <w:rsid w:val="00990D74"/>
    <w:rsid w:val="0099161D"/>
    <w:rsid w:val="009928A3"/>
    <w:rsid w:val="0099393E"/>
    <w:rsid w:val="009939C5"/>
    <w:rsid w:val="00994768"/>
    <w:rsid w:val="009A0E23"/>
    <w:rsid w:val="009A6DC2"/>
    <w:rsid w:val="009B2581"/>
    <w:rsid w:val="009B4E1D"/>
    <w:rsid w:val="009B6D4C"/>
    <w:rsid w:val="009B78FB"/>
    <w:rsid w:val="009C127B"/>
    <w:rsid w:val="009C2A38"/>
    <w:rsid w:val="009C3737"/>
    <w:rsid w:val="009C704F"/>
    <w:rsid w:val="009D0178"/>
    <w:rsid w:val="009D5A28"/>
    <w:rsid w:val="009E217E"/>
    <w:rsid w:val="009E2528"/>
    <w:rsid w:val="009E33EA"/>
    <w:rsid w:val="009E3B3C"/>
    <w:rsid w:val="009E4333"/>
    <w:rsid w:val="009E5C67"/>
    <w:rsid w:val="009F141B"/>
    <w:rsid w:val="009F38C3"/>
    <w:rsid w:val="009F481C"/>
    <w:rsid w:val="00A015B1"/>
    <w:rsid w:val="00A02C96"/>
    <w:rsid w:val="00A0389B"/>
    <w:rsid w:val="00A044AB"/>
    <w:rsid w:val="00A23F79"/>
    <w:rsid w:val="00A3207B"/>
    <w:rsid w:val="00A327EF"/>
    <w:rsid w:val="00A33AE9"/>
    <w:rsid w:val="00A33EFA"/>
    <w:rsid w:val="00A34FB3"/>
    <w:rsid w:val="00A3778D"/>
    <w:rsid w:val="00A40675"/>
    <w:rsid w:val="00A41C76"/>
    <w:rsid w:val="00A434BD"/>
    <w:rsid w:val="00A446C9"/>
    <w:rsid w:val="00A4701E"/>
    <w:rsid w:val="00A52AAC"/>
    <w:rsid w:val="00A5603C"/>
    <w:rsid w:val="00A56C46"/>
    <w:rsid w:val="00A61927"/>
    <w:rsid w:val="00A62486"/>
    <w:rsid w:val="00A635D6"/>
    <w:rsid w:val="00A64BD4"/>
    <w:rsid w:val="00A66484"/>
    <w:rsid w:val="00A66DB3"/>
    <w:rsid w:val="00A8113F"/>
    <w:rsid w:val="00A81D53"/>
    <w:rsid w:val="00A84A32"/>
    <w:rsid w:val="00A8553A"/>
    <w:rsid w:val="00A8590F"/>
    <w:rsid w:val="00A86189"/>
    <w:rsid w:val="00A87696"/>
    <w:rsid w:val="00A938FA"/>
    <w:rsid w:val="00A93AED"/>
    <w:rsid w:val="00A95CD1"/>
    <w:rsid w:val="00AA6AEC"/>
    <w:rsid w:val="00AB0BEE"/>
    <w:rsid w:val="00AC0FD3"/>
    <w:rsid w:val="00AC2537"/>
    <w:rsid w:val="00AC75D0"/>
    <w:rsid w:val="00AC7D84"/>
    <w:rsid w:val="00AD0A05"/>
    <w:rsid w:val="00AD0A80"/>
    <w:rsid w:val="00AD666E"/>
    <w:rsid w:val="00AD7753"/>
    <w:rsid w:val="00AE1319"/>
    <w:rsid w:val="00AE34BB"/>
    <w:rsid w:val="00AE6039"/>
    <w:rsid w:val="00AF1078"/>
    <w:rsid w:val="00AF1225"/>
    <w:rsid w:val="00B046FC"/>
    <w:rsid w:val="00B06AEB"/>
    <w:rsid w:val="00B06AFF"/>
    <w:rsid w:val="00B10ED3"/>
    <w:rsid w:val="00B124FE"/>
    <w:rsid w:val="00B12CD7"/>
    <w:rsid w:val="00B1667B"/>
    <w:rsid w:val="00B22019"/>
    <w:rsid w:val="00B226F2"/>
    <w:rsid w:val="00B25405"/>
    <w:rsid w:val="00B26E3E"/>
    <w:rsid w:val="00B274DF"/>
    <w:rsid w:val="00B33D66"/>
    <w:rsid w:val="00B34647"/>
    <w:rsid w:val="00B35264"/>
    <w:rsid w:val="00B36663"/>
    <w:rsid w:val="00B41FF2"/>
    <w:rsid w:val="00B430C8"/>
    <w:rsid w:val="00B511D6"/>
    <w:rsid w:val="00B53971"/>
    <w:rsid w:val="00B55141"/>
    <w:rsid w:val="00B554CB"/>
    <w:rsid w:val="00B563FA"/>
    <w:rsid w:val="00B56BDF"/>
    <w:rsid w:val="00B63C1F"/>
    <w:rsid w:val="00B65812"/>
    <w:rsid w:val="00B66211"/>
    <w:rsid w:val="00B701E5"/>
    <w:rsid w:val="00B703A0"/>
    <w:rsid w:val="00B71A21"/>
    <w:rsid w:val="00B743D5"/>
    <w:rsid w:val="00B77187"/>
    <w:rsid w:val="00B77820"/>
    <w:rsid w:val="00B77D19"/>
    <w:rsid w:val="00B8149A"/>
    <w:rsid w:val="00B831E6"/>
    <w:rsid w:val="00B85CD6"/>
    <w:rsid w:val="00B90A27"/>
    <w:rsid w:val="00B9554D"/>
    <w:rsid w:val="00B978E4"/>
    <w:rsid w:val="00BA0FBE"/>
    <w:rsid w:val="00BA4B5C"/>
    <w:rsid w:val="00BA4BD6"/>
    <w:rsid w:val="00BA4EF7"/>
    <w:rsid w:val="00BA5998"/>
    <w:rsid w:val="00BA5A0A"/>
    <w:rsid w:val="00BA6EB4"/>
    <w:rsid w:val="00BB2B9F"/>
    <w:rsid w:val="00BB3BDB"/>
    <w:rsid w:val="00BB5609"/>
    <w:rsid w:val="00BB7D9E"/>
    <w:rsid w:val="00BC208D"/>
    <w:rsid w:val="00BC2334"/>
    <w:rsid w:val="00BD2DCB"/>
    <w:rsid w:val="00BD3CB8"/>
    <w:rsid w:val="00BD4E6F"/>
    <w:rsid w:val="00BD5AB6"/>
    <w:rsid w:val="00BE3D7C"/>
    <w:rsid w:val="00BE4F80"/>
    <w:rsid w:val="00BE5708"/>
    <w:rsid w:val="00BE5EBF"/>
    <w:rsid w:val="00BF32F0"/>
    <w:rsid w:val="00BF3A20"/>
    <w:rsid w:val="00BF4DCE"/>
    <w:rsid w:val="00BF76EE"/>
    <w:rsid w:val="00BF7C09"/>
    <w:rsid w:val="00C03583"/>
    <w:rsid w:val="00C05CE5"/>
    <w:rsid w:val="00C07184"/>
    <w:rsid w:val="00C073C3"/>
    <w:rsid w:val="00C07A90"/>
    <w:rsid w:val="00C07B8D"/>
    <w:rsid w:val="00C14AD6"/>
    <w:rsid w:val="00C15222"/>
    <w:rsid w:val="00C24B06"/>
    <w:rsid w:val="00C27D36"/>
    <w:rsid w:val="00C30C16"/>
    <w:rsid w:val="00C31B53"/>
    <w:rsid w:val="00C40481"/>
    <w:rsid w:val="00C45BBD"/>
    <w:rsid w:val="00C51CA9"/>
    <w:rsid w:val="00C573C6"/>
    <w:rsid w:val="00C57F60"/>
    <w:rsid w:val="00C6071F"/>
    <w:rsid w:val="00C610E8"/>
    <w:rsid w:val="00C6171E"/>
    <w:rsid w:val="00C61CFC"/>
    <w:rsid w:val="00C83885"/>
    <w:rsid w:val="00C8599A"/>
    <w:rsid w:val="00C8603A"/>
    <w:rsid w:val="00C87124"/>
    <w:rsid w:val="00C926CC"/>
    <w:rsid w:val="00CA14EF"/>
    <w:rsid w:val="00CA235B"/>
    <w:rsid w:val="00CA486A"/>
    <w:rsid w:val="00CA514A"/>
    <w:rsid w:val="00CA5709"/>
    <w:rsid w:val="00CA6011"/>
    <w:rsid w:val="00CA6F2C"/>
    <w:rsid w:val="00CB43CE"/>
    <w:rsid w:val="00CC5A5D"/>
    <w:rsid w:val="00CC6647"/>
    <w:rsid w:val="00CC6DDA"/>
    <w:rsid w:val="00CD2000"/>
    <w:rsid w:val="00CD587B"/>
    <w:rsid w:val="00CD69DF"/>
    <w:rsid w:val="00CD6C03"/>
    <w:rsid w:val="00CD7C04"/>
    <w:rsid w:val="00CF0ED2"/>
    <w:rsid w:val="00CF14B4"/>
    <w:rsid w:val="00CF1871"/>
    <w:rsid w:val="00CF6899"/>
    <w:rsid w:val="00D0197B"/>
    <w:rsid w:val="00D019CE"/>
    <w:rsid w:val="00D02786"/>
    <w:rsid w:val="00D07525"/>
    <w:rsid w:val="00D1133E"/>
    <w:rsid w:val="00D15545"/>
    <w:rsid w:val="00D16DD7"/>
    <w:rsid w:val="00D17A34"/>
    <w:rsid w:val="00D21F8D"/>
    <w:rsid w:val="00D24C00"/>
    <w:rsid w:val="00D24DC4"/>
    <w:rsid w:val="00D26628"/>
    <w:rsid w:val="00D26849"/>
    <w:rsid w:val="00D27ABE"/>
    <w:rsid w:val="00D32DA7"/>
    <w:rsid w:val="00D332B3"/>
    <w:rsid w:val="00D37747"/>
    <w:rsid w:val="00D44820"/>
    <w:rsid w:val="00D44F6C"/>
    <w:rsid w:val="00D4748B"/>
    <w:rsid w:val="00D5481B"/>
    <w:rsid w:val="00D55207"/>
    <w:rsid w:val="00D6278F"/>
    <w:rsid w:val="00D729D5"/>
    <w:rsid w:val="00D74094"/>
    <w:rsid w:val="00D755BE"/>
    <w:rsid w:val="00D81801"/>
    <w:rsid w:val="00D818A7"/>
    <w:rsid w:val="00D823B6"/>
    <w:rsid w:val="00D853D8"/>
    <w:rsid w:val="00D8681F"/>
    <w:rsid w:val="00D86845"/>
    <w:rsid w:val="00D92B45"/>
    <w:rsid w:val="00D93316"/>
    <w:rsid w:val="00D95962"/>
    <w:rsid w:val="00DA34A1"/>
    <w:rsid w:val="00DA45B2"/>
    <w:rsid w:val="00DB224E"/>
    <w:rsid w:val="00DB4CC1"/>
    <w:rsid w:val="00DB7FFD"/>
    <w:rsid w:val="00DC389B"/>
    <w:rsid w:val="00DC5556"/>
    <w:rsid w:val="00DD65C9"/>
    <w:rsid w:val="00DD79C5"/>
    <w:rsid w:val="00DE006B"/>
    <w:rsid w:val="00DE2FEE"/>
    <w:rsid w:val="00DF1B0A"/>
    <w:rsid w:val="00DF3973"/>
    <w:rsid w:val="00E00BE9"/>
    <w:rsid w:val="00E01BD8"/>
    <w:rsid w:val="00E0631A"/>
    <w:rsid w:val="00E068F2"/>
    <w:rsid w:val="00E06CC4"/>
    <w:rsid w:val="00E124E5"/>
    <w:rsid w:val="00E22A11"/>
    <w:rsid w:val="00E24D66"/>
    <w:rsid w:val="00E31E5C"/>
    <w:rsid w:val="00E377B2"/>
    <w:rsid w:val="00E42FFF"/>
    <w:rsid w:val="00E438D0"/>
    <w:rsid w:val="00E44DD2"/>
    <w:rsid w:val="00E50A28"/>
    <w:rsid w:val="00E54079"/>
    <w:rsid w:val="00E558C3"/>
    <w:rsid w:val="00E55927"/>
    <w:rsid w:val="00E55C68"/>
    <w:rsid w:val="00E577FE"/>
    <w:rsid w:val="00E666F8"/>
    <w:rsid w:val="00E66C0A"/>
    <w:rsid w:val="00E733A1"/>
    <w:rsid w:val="00E74105"/>
    <w:rsid w:val="00E742E2"/>
    <w:rsid w:val="00E76F37"/>
    <w:rsid w:val="00E8113F"/>
    <w:rsid w:val="00E8221A"/>
    <w:rsid w:val="00E84867"/>
    <w:rsid w:val="00E906CA"/>
    <w:rsid w:val="00E912A6"/>
    <w:rsid w:val="00E91C68"/>
    <w:rsid w:val="00E934F7"/>
    <w:rsid w:val="00E95533"/>
    <w:rsid w:val="00E95DAF"/>
    <w:rsid w:val="00EA114B"/>
    <w:rsid w:val="00EA13EE"/>
    <w:rsid w:val="00EA4844"/>
    <w:rsid w:val="00EA4D9C"/>
    <w:rsid w:val="00EA5A97"/>
    <w:rsid w:val="00EA5D80"/>
    <w:rsid w:val="00EB2B9F"/>
    <w:rsid w:val="00EB2F64"/>
    <w:rsid w:val="00EB464B"/>
    <w:rsid w:val="00EB6E4D"/>
    <w:rsid w:val="00EB71F5"/>
    <w:rsid w:val="00EB75EE"/>
    <w:rsid w:val="00EC6624"/>
    <w:rsid w:val="00EC68C4"/>
    <w:rsid w:val="00ED07DD"/>
    <w:rsid w:val="00ED4E8F"/>
    <w:rsid w:val="00EE05DA"/>
    <w:rsid w:val="00EE1343"/>
    <w:rsid w:val="00EE185D"/>
    <w:rsid w:val="00EE4C1D"/>
    <w:rsid w:val="00EF17C8"/>
    <w:rsid w:val="00EF1FAB"/>
    <w:rsid w:val="00EF31FC"/>
    <w:rsid w:val="00EF3685"/>
    <w:rsid w:val="00EF63F3"/>
    <w:rsid w:val="00F00725"/>
    <w:rsid w:val="00F04350"/>
    <w:rsid w:val="00F133DB"/>
    <w:rsid w:val="00F159EB"/>
    <w:rsid w:val="00F16375"/>
    <w:rsid w:val="00F25BF4"/>
    <w:rsid w:val="00F26487"/>
    <w:rsid w:val="00F267DB"/>
    <w:rsid w:val="00F32FDD"/>
    <w:rsid w:val="00F33D54"/>
    <w:rsid w:val="00F37083"/>
    <w:rsid w:val="00F40251"/>
    <w:rsid w:val="00F41AD8"/>
    <w:rsid w:val="00F420E2"/>
    <w:rsid w:val="00F43B0C"/>
    <w:rsid w:val="00F45CD1"/>
    <w:rsid w:val="00F46F6F"/>
    <w:rsid w:val="00F47B1D"/>
    <w:rsid w:val="00F546C6"/>
    <w:rsid w:val="00F56E78"/>
    <w:rsid w:val="00F60608"/>
    <w:rsid w:val="00F62217"/>
    <w:rsid w:val="00F634AD"/>
    <w:rsid w:val="00F64685"/>
    <w:rsid w:val="00F73536"/>
    <w:rsid w:val="00F77173"/>
    <w:rsid w:val="00F82C02"/>
    <w:rsid w:val="00F944CC"/>
    <w:rsid w:val="00F96ECB"/>
    <w:rsid w:val="00FA0CB9"/>
    <w:rsid w:val="00FA1C5B"/>
    <w:rsid w:val="00FA7345"/>
    <w:rsid w:val="00FB1239"/>
    <w:rsid w:val="00FB17A9"/>
    <w:rsid w:val="00FB2B73"/>
    <w:rsid w:val="00FB3B64"/>
    <w:rsid w:val="00FB527C"/>
    <w:rsid w:val="00FB5C4D"/>
    <w:rsid w:val="00FB667F"/>
    <w:rsid w:val="00FB6F75"/>
    <w:rsid w:val="00FB7147"/>
    <w:rsid w:val="00FC07BC"/>
    <w:rsid w:val="00FC0EB3"/>
    <w:rsid w:val="00FC345E"/>
    <w:rsid w:val="00FC44D6"/>
    <w:rsid w:val="00FC56CB"/>
    <w:rsid w:val="00FD03A9"/>
    <w:rsid w:val="00FD080F"/>
    <w:rsid w:val="00FD146F"/>
    <w:rsid w:val="00FD47CD"/>
    <w:rsid w:val="00FD675E"/>
    <w:rsid w:val="00FE0BF0"/>
    <w:rsid w:val="00FE12D6"/>
    <w:rsid w:val="00FE17D8"/>
    <w:rsid w:val="00FE3135"/>
    <w:rsid w:val="00FE5674"/>
    <w:rsid w:val="00FE635D"/>
    <w:rsid w:val="00FF06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FEFFAF7"/>
  <w15:docId w15:val="{83025EDE-0BE6-4391-86F4-9EB9A5D05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C2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A66484"/>
    <w:pPr>
      <w:spacing w:after="120"/>
      <w:jc w:val="both"/>
    </w:pPr>
    <w:rPr>
      <w:rFonts w:ascii="Calibri" w:hAnsi="Calibri"/>
    </w:rPr>
  </w:style>
  <w:style w:type="character" w:customStyle="1" w:styleId="BodyTextChar">
    <w:name w:val="Body Text Char"/>
    <w:link w:val="BodyText"/>
    <w:rsid w:val="00A66484"/>
    <w:rPr>
      <w:rFonts w:cs="Calibri"/>
      <w:sz w:val="22"/>
      <w:szCs w:val="22"/>
    </w:rPr>
  </w:style>
  <w:style w:type="paragraph" w:customStyle="1" w:styleId="Bullet1">
    <w:name w:val="Bullet 1"/>
    <w:basedOn w:val="Normal"/>
    <w:qFormat/>
    <w:rsid w:val="00990D74"/>
    <w:pPr>
      <w:numPr>
        <w:numId w:val="10"/>
      </w:numPr>
      <w:tabs>
        <w:tab w:val="clear" w:pos="720"/>
        <w:tab w:val="left" w:pos="1134"/>
      </w:tabs>
      <w:spacing w:after="120"/>
      <w:ind w:left="1134" w:hanging="567"/>
      <w:jc w:val="both"/>
      <w:outlineLvl w:val="0"/>
    </w:pPr>
    <w:rPr>
      <w:rFonts w:ascii="Calibri" w:hAnsi="Calibr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990D74"/>
    <w:pPr>
      <w:numPr>
        <w:numId w:val="22"/>
      </w:numPr>
      <w:spacing w:after="120"/>
      <w:jc w:val="both"/>
    </w:pPr>
    <w:rPr>
      <w:rFonts w:ascii="Calibri" w:eastAsia="MS Mincho" w:hAnsi="Calibri"/>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7C1E71"/>
    <w:pPr>
      <w:numPr>
        <w:numId w:val="17"/>
      </w:numPr>
      <w:spacing w:after="120"/>
    </w:pPr>
    <w:rPr>
      <w:rFonts w:ascii="Calibri" w:hAnsi="Calibri"/>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Body">
    <w:name w:val="Body"/>
    <w:rsid w:val="007F3553"/>
    <w:pPr>
      <w:spacing w:after="200" w:line="276" w:lineRule="auto"/>
      <w:jc w:val="both"/>
    </w:pPr>
    <w:rPr>
      <w:rFonts w:ascii="Helvetica" w:eastAsia="Arial Unicode MS" w:hAnsi="Arial Unicode MS" w:cs="Arial Unicode MS"/>
      <w:color w:val="08374B"/>
      <w:sz w:val="24"/>
      <w:szCs w:val="24"/>
      <w:u w:color="08374B"/>
      <w:lang w:val="en-US" w:eastAsia="en-US"/>
    </w:rPr>
  </w:style>
  <w:style w:type="paragraph" w:customStyle="1" w:styleId="Mybold">
    <w:name w:val="My bold"/>
    <w:basedOn w:val="Normal"/>
    <w:link w:val="MyboldTegn"/>
    <w:autoRedefine/>
    <w:qFormat/>
    <w:rsid w:val="00990D74"/>
    <w:pPr>
      <w:spacing w:after="120"/>
      <w:jc w:val="center"/>
    </w:pPr>
    <w:rPr>
      <w:rFonts w:asciiTheme="minorHAnsi" w:hAnsiTheme="minorHAnsi"/>
      <w:b/>
    </w:rPr>
  </w:style>
  <w:style w:type="character" w:customStyle="1" w:styleId="MyboldTegn">
    <w:name w:val="My bold Tegn"/>
    <w:basedOn w:val="DefaultParagraphFont"/>
    <w:link w:val="Mybold"/>
    <w:rsid w:val="00990D74"/>
    <w:rPr>
      <w:rFonts w:asciiTheme="minorHAnsi" w:hAnsiTheme="minorHAnsi" w:cs="Calibri"/>
      <w:b/>
      <w:sz w:val="22"/>
      <w:szCs w:val="22"/>
    </w:rPr>
  </w:style>
  <w:style w:type="paragraph" w:styleId="DocumentMap">
    <w:name w:val="Document Map"/>
    <w:basedOn w:val="Normal"/>
    <w:link w:val="DocumentMapChar"/>
    <w:uiPriority w:val="99"/>
    <w:semiHidden/>
    <w:unhideWhenUsed/>
    <w:rsid w:val="00E8221A"/>
    <w:rPr>
      <w:rFonts w:ascii="Gulim" w:eastAsia="Gulim"/>
      <w:sz w:val="18"/>
      <w:szCs w:val="18"/>
    </w:rPr>
  </w:style>
  <w:style w:type="character" w:customStyle="1" w:styleId="DocumentMapChar">
    <w:name w:val="Document Map Char"/>
    <w:basedOn w:val="DefaultParagraphFont"/>
    <w:link w:val="DocumentMap"/>
    <w:uiPriority w:val="99"/>
    <w:semiHidden/>
    <w:rsid w:val="00E8221A"/>
    <w:rPr>
      <w:rFonts w:ascii="Gulim" w:eastAsia="Gulim" w:hAnsi="Arial" w:cs="Calibri"/>
      <w:sz w:val="18"/>
      <w:szCs w:val="18"/>
    </w:rPr>
  </w:style>
  <w:style w:type="paragraph" w:styleId="Caption">
    <w:name w:val="caption"/>
    <w:basedOn w:val="Normal"/>
    <w:next w:val="Normal"/>
    <w:uiPriority w:val="35"/>
    <w:unhideWhenUsed/>
    <w:qFormat/>
    <w:rsid w:val="00075A87"/>
    <w:rPr>
      <w:b/>
      <w:bCs/>
      <w:sz w:val="20"/>
      <w:szCs w:val="20"/>
    </w:rPr>
  </w:style>
  <w:style w:type="paragraph" w:styleId="NormalWeb">
    <w:name w:val="Normal (Web)"/>
    <w:basedOn w:val="Normal"/>
    <w:uiPriority w:val="99"/>
    <w:unhideWhenUsed/>
    <w:rsid w:val="00CA486A"/>
    <w:pPr>
      <w:spacing w:before="100" w:beforeAutospacing="1" w:after="100" w:afterAutospacing="1"/>
    </w:pPr>
    <w:rPr>
      <w:rFonts w:ascii="Gulim" w:eastAsia="Gulim" w:hAnsi="Gulim" w:cs="Gulim"/>
      <w:sz w:val="24"/>
      <w:szCs w:val="24"/>
      <w:lang w:val="en-US" w:eastAsia="ko-KR"/>
    </w:rPr>
  </w:style>
  <w:style w:type="character" w:styleId="PlaceholderText">
    <w:name w:val="Placeholder Text"/>
    <w:basedOn w:val="DefaultParagraphFont"/>
    <w:uiPriority w:val="99"/>
    <w:semiHidden/>
    <w:rsid w:val="00B55141"/>
    <w:rPr>
      <w:color w:val="808080"/>
    </w:rPr>
  </w:style>
  <w:style w:type="paragraph" w:customStyle="1" w:styleId="Tablehead">
    <w:name w:val="Table_head"/>
    <w:basedOn w:val="Normal"/>
    <w:next w:val="Normal"/>
    <w:link w:val="TableheadChar"/>
    <w:rsid w:val="004A79E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ascii="Times New Roman" w:hAnsi="Times New Roman" w:cs="Times New Roman"/>
      <w:b/>
      <w:szCs w:val="20"/>
      <w:lang w:val="fr-FR" w:eastAsia="en-US"/>
    </w:rPr>
  </w:style>
  <w:style w:type="paragraph" w:customStyle="1" w:styleId="Tabletext">
    <w:name w:val="Table_text"/>
    <w:basedOn w:val="Normal"/>
    <w:link w:val="TabletextChar"/>
    <w:rsid w:val="004A79E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ascii="Times New Roman" w:hAnsi="Times New Roman" w:cs="Times New Roman"/>
      <w:szCs w:val="20"/>
      <w:lang w:val="fr-FR" w:eastAsia="en-US"/>
    </w:rPr>
  </w:style>
  <w:style w:type="character" w:customStyle="1" w:styleId="TableheadChar">
    <w:name w:val="Table_head Char"/>
    <w:basedOn w:val="DefaultParagraphFont"/>
    <w:link w:val="Tablehead"/>
    <w:qFormat/>
    <w:locked/>
    <w:rsid w:val="004A79E7"/>
    <w:rPr>
      <w:rFonts w:ascii="Times New Roman" w:hAnsi="Times New Roman"/>
      <w:b/>
      <w:sz w:val="22"/>
      <w:lang w:val="fr-FR" w:eastAsia="en-US"/>
    </w:rPr>
  </w:style>
  <w:style w:type="character" w:customStyle="1" w:styleId="TabletextChar">
    <w:name w:val="Table_text Char"/>
    <w:basedOn w:val="DefaultParagraphFont"/>
    <w:link w:val="Tabletext"/>
    <w:qFormat/>
    <w:locked/>
    <w:rsid w:val="004A79E7"/>
    <w:rPr>
      <w:rFonts w:ascii="Times New Roman" w:hAnsi="Times New Roman"/>
      <w:sz w:val="22"/>
      <w:lang w:val="fr-FR" w:eastAsia="en-US"/>
    </w:rPr>
  </w:style>
  <w:style w:type="table" w:customStyle="1" w:styleId="TableGrid4">
    <w:name w:val="Table Grid4"/>
    <w:basedOn w:val="TableNormal"/>
    <w:uiPriority w:val="59"/>
    <w:rsid w:val="004A79E7"/>
    <w:rPr>
      <w:rFonts w:eastAsia="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B06AFF"/>
    <w:pPr>
      <w:widowControl w:val="0"/>
      <w:autoSpaceDE w:val="0"/>
      <w:autoSpaceDN w:val="0"/>
    </w:pPr>
    <w:rPr>
      <w:rFonts w:asciiTheme="minorHAnsi" w:eastAsiaTheme="minorEastAsia"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06AFF"/>
    <w:pPr>
      <w:widowControl w:val="0"/>
      <w:autoSpaceDE w:val="0"/>
      <w:autoSpaceDN w:val="0"/>
      <w:spacing w:before="61"/>
      <w:ind w:left="107"/>
    </w:pPr>
    <w:rPr>
      <w:rFonts w:eastAsia="Arial" w:cs="Aria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464433">
      <w:bodyDiv w:val="1"/>
      <w:marLeft w:val="0"/>
      <w:marRight w:val="0"/>
      <w:marTop w:val="0"/>
      <w:marBottom w:val="0"/>
      <w:divBdr>
        <w:top w:val="none" w:sz="0" w:space="0" w:color="auto"/>
        <w:left w:val="none" w:sz="0" w:space="0" w:color="auto"/>
        <w:bottom w:val="none" w:sz="0" w:space="0" w:color="auto"/>
        <w:right w:val="none" w:sz="0" w:space="0" w:color="auto"/>
      </w:divBdr>
    </w:div>
    <w:div w:id="270403926">
      <w:bodyDiv w:val="1"/>
      <w:marLeft w:val="0"/>
      <w:marRight w:val="0"/>
      <w:marTop w:val="0"/>
      <w:marBottom w:val="0"/>
      <w:divBdr>
        <w:top w:val="none" w:sz="0" w:space="0" w:color="auto"/>
        <w:left w:val="none" w:sz="0" w:space="0" w:color="auto"/>
        <w:bottom w:val="none" w:sz="0" w:space="0" w:color="auto"/>
        <w:right w:val="none" w:sz="0" w:space="0" w:color="auto"/>
      </w:divBdr>
    </w:div>
    <w:div w:id="443548246">
      <w:bodyDiv w:val="1"/>
      <w:marLeft w:val="0"/>
      <w:marRight w:val="0"/>
      <w:marTop w:val="0"/>
      <w:marBottom w:val="0"/>
      <w:divBdr>
        <w:top w:val="none" w:sz="0" w:space="0" w:color="auto"/>
        <w:left w:val="none" w:sz="0" w:space="0" w:color="auto"/>
        <w:bottom w:val="none" w:sz="0" w:space="0" w:color="auto"/>
        <w:right w:val="none" w:sz="0" w:space="0" w:color="auto"/>
      </w:divBdr>
    </w:div>
    <w:div w:id="449399332">
      <w:bodyDiv w:val="1"/>
      <w:marLeft w:val="0"/>
      <w:marRight w:val="0"/>
      <w:marTop w:val="0"/>
      <w:marBottom w:val="0"/>
      <w:divBdr>
        <w:top w:val="none" w:sz="0" w:space="0" w:color="auto"/>
        <w:left w:val="none" w:sz="0" w:space="0" w:color="auto"/>
        <w:bottom w:val="none" w:sz="0" w:space="0" w:color="auto"/>
        <w:right w:val="none" w:sz="0" w:space="0" w:color="auto"/>
      </w:divBdr>
    </w:div>
    <w:div w:id="507867728">
      <w:bodyDiv w:val="1"/>
      <w:marLeft w:val="0"/>
      <w:marRight w:val="0"/>
      <w:marTop w:val="0"/>
      <w:marBottom w:val="0"/>
      <w:divBdr>
        <w:top w:val="none" w:sz="0" w:space="0" w:color="auto"/>
        <w:left w:val="none" w:sz="0" w:space="0" w:color="auto"/>
        <w:bottom w:val="none" w:sz="0" w:space="0" w:color="auto"/>
        <w:right w:val="none" w:sz="0" w:space="0" w:color="auto"/>
      </w:divBdr>
    </w:div>
    <w:div w:id="591546358">
      <w:bodyDiv w:val="1"/>
      <w:marLeft w:val="0"/>
      <w:marRight w:val="0"/>
      <w:marTop w:val="0"/>
      <w:marBottom w:val="0"/>
      <w:divBdr>
        <w:top w:val="none" w:sz="0" w:space="0" w:color="auto"/>
        <w:left w:val="none" w:sz="0" w:space="0" w:color="auto"/>
        <w:bottom w:val="none" w:sz="0" w:space="0" w:color="auto"/>
        <w:right w:val="none" w:sz="0" w:space="0" w:color="auto"/>
      </w:divBdr>
    </w:div>
    <w:div w:id="688139999">
      <w:bodyDiv w:val="1"/>
      <w:marLeft w:val="0"/>
      <w:marRight w:val="0"/>
      <w:marTop w:val="0"/>
      <w:marBottom w:val="0"/>
      <w:divBdr>
        <w:top w:val="none" w:sz="0" w:space="0" w:color="auto"/>
        <w:left w:val="none" w:sz="0" w:space="0" w:color="auto"/>
        <w:bottom w:val="none" w:sz="0" w:space="0" w:color="auto"/>
        <w:right w:val="none" w:sz="0" w:space="0" w:color="auto"/>
      </w:divBdr>
    </w:div>
    <w:div w:id="877544210">
      <w:bodyDiv w:val="1"/>
      <w:marLeft w:val="0"/>
      <w:marRight w:val="0"/>
      <w:marTop w:val="0"/>
      <w:marBottom w:val="0"/>
      <w:divBdr>
        <w:top w:val="none" w:sz="0" w:space="0" w:color="auto"/>
        <w:left w:val="none" w:sz="0" w:space="0" w:color="auto"/>
        <w:bottom w:val="none" w:sz="0" w:space="0" w:color="auto"/>
        <w:right w:val="none" w:sz="0" w:space="0" w:color="auto"/>
      </w:divBdr>
    </w:div>
    <w:div w:id="946353830">
      <w:bodyDiv w:val="1"/>
      <w:marLeft w:val="0"/>
      <w:marRight w:val="0"/>
      <w:marTop w:val="0"/>
      <w:marBottom w:val="0"/>
      <w:divBdr>
        <w:top w:val="none" w:sz="0" w:space="0" w:color="auto"/>
        <w:left w:val="none" w:sz="0" w:space="0" w:color="auto"/>
        <w:bottom w:val="none" w:sz="0" w:space="0" w:color="auto"/>
        <w:right w:val="none" w:sz="0" w:space="0" w:color="auto"/>
      </w:divBdr>
    </w:div>
    <w:div w:id="1078556852">
      <w:bodyDiv w:val="1"/>
      <w:marLeft w:val="0"/>
      <w:marRight w:val="0"/>
      <w:marTop w:val="0"/>
      <w:marBottom w:val="0"/>
      <w:divBdr>
        <w:top w:val="none" w:sz="0" w:space="0" w:color="auto"/>
        <w:left w:val="none" w:sz="0" w:space="0" w:color="auto"/>
        <w:bottom w:val="none" w:sz="0" w:space="0" w:color="auto"/>
        <w:right w:val="none" w:sz="0" w:space="0" w:color="auto"/>
      </w:divBdr>
    </w:div>
    <w:div w:id="2002811193">
      <w:bodyDiv w:val="1"/>
      <w:marLeft w:val="0"/>
      <w:marRight w:val="0"/>
      <w:marTop w:val="0"/>
      <w:marBottom w:val="0"/>
      <w:divBdr>
        <w:top w:val="none" w:sz="0" w:space="0" w:color="auto"/>
        <w:left w:val="none" w:sz="0" w:space="0" w:color="auto"/>
        <w:bottom w:val="none" w:sz="0" w:space="0" w:color="auto"/>
        <w:right w:val="none" w:sz="0" w:space="0" w:color="auto"/>
      </w:divBdr>
    </w:div>
    <w:div w:id="212356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7.emf"/><Relationship Id="rId20"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image" Target="media/image6.emf"/><Relationship Id="rId23"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emf"/><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DDA83C-FFD7-4416-8FF7-7DC90EB9F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EC411-292C-4C90-9803-50F7D0418467}">
  <ds:schemaRefs>
    <ds:schemaRef ds:uri="http://schemas.openxmlformats.org/officeDocument/2006/bibliography"/>
  </ds:schemaRefs>
</ds:datastoreItem>
</file>

<file path=customXml/itemProps3.xml><?xml version="1.0" encoding="utf-8"?>
<ds:datastoreItem xmlns:ds="http://schemas.openxmlformats.org/officeDocument/2006/customXml" ds:itemID="{D7CE4174-68C9-426E-8EF7-D450FCFAB4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8</Pages>
  <Words>2137</Words>
  <Characters>12187</Characters>
  <Application>Microsoft Office Word</Application>
  <DocSecurity>0</DocSecurity>
  <Lines>101</Lines>
  <Paragraphs>28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Jaime Alvarez</cp:lastModifiedBy>
  <cp:revision>10</cp:revision>
  <cp:lastPrinted>2022-06-21T04:31:00Z</cp:lastPrinted>
  <dcterms:created xsi:type="dcterms:W3CDTF">2022-08-29T01:12:00Z</dcterms:created>
  <dcterms:modified xsi:type="dcterms:W3CDTF">2022-09-01T09:12:00Z</dcterms:modified>
</cp:coreProperties>
</file>